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E" w:rsidRPr="00382A00" w:rsidRDefault="0002051E" w:rsidP="00EB6888">
      <w:pPr>
        <w:jc w:val="center"/>
        <w:rPr>
          <w:rFonts w:ascii="Arial" w:hAnsi="Arial" w:cs="Arial"/>
          <w:b/>
          <w:sz w:val="28"/>
        </w:rPr>
      </w:pPr>
      <w:r w:rsidRPr="00382A00">
        <w:rPr>
          <w:rFonts w:ascii="Arial" w:hAnsi="Arial" w:cs="Arial"/>
          <w:b/>
          <w:sz w:val="28"/>
        </w:rPr>
        <w:t>Public Policy and Management (PPM</w:t>
      </w:r>
      <w:r>
        <w:rPr>
          <w:rFonts w:ascii="Arial" w:hAnsi="Arial" w:cs="Arial"/>
          <w:b/>
          <w:sz w:val="28"/>
        </w:rPr>
        <w:t>)</w:t>
      </w:r>
      <w:r w:rsidRPr="00382A00">
        <w:rPr>
          <w:rFonts w:ascii="Arial" w:hAnsi="Arial" w:cs="Arial"/>
          <w:b/>
          <w:sz w:val="28"/>
        </w:rPr>
        <w:t xml:space="preserve"> 510  </w:t>
      </w:r>
    </w:p>
    <w:p w:rsidR="0002051E" w:rsidRPr="00382A00" w:rsidRDefault="0002051E" w:rsidP="007B534C">
      <w:pPr>
        <w:spacing w:after="120"/>
        <w:jc w:val="center"/>
        <w:rPr>
          <w:rFonts w:ascii="Arial" w:hAnsi="Arial" w:cs="Arial"/>
          <w:b/>
          <w:sz w:val="28"/>
        </w:rPr>
      </w:pPr>
      <w:r w:rsidRPr="00382A00">
        <w:rPr>
          <w:rFonts w:ascii="Arial" w:hAnsi="Arial" w:cs="Arial"/>
          <w:b/>
          <w:sz w:val="28"/>
        </w:rPr>
        <w:t>Seminar in Policy Analysis and Evaluation</w:t>
      </w:r>
    </w:p>
    <w:p w:rsidR="0002051E" w:rsidRPr="00382A00" w:rsidRDefault="0002051E" w:rsidP="00EB6888">
      <w:pPr>
        <w:jc w:val="center"/>
        <w:rPr>
          <w:rFonts w:ascii="Arial" w:hAnsi="Arial" w:cs="Arial"/>
          <w:b/>
        </w:rPr>
      </w:pPr>
      <w:r w:rsidRPr="00382A00">
        <w:rPr>
          <w:rFonts w:ascii="Arial" w:hAnsi="Arial" w:cs="Arial"/>
          <w:b/>
          <w:sz w:val="28"/>
        </w:rPr>
        <w:t>Professor Robert Plotnick</w:t>
      </w:r>
    </w:p>
    <w:p w:rsidR="0002051E" w:rsidRPr="00382A00" w:rsidRDefault="0002051E" w:rsidP="00EB6888">
      <w:pPr>
        <w:jc w:val="center"/>
        <w:rPr>
          <w:rFonts w:ascii="Arial" w:hAnsi="Arial" w:cs="Arial"/>
          <w:b/>
        </w:rPr>
      </w:pPr>
    </w:p>
    <w:p w:rsidR="0002051E" w:rsidRPr="00382A00" w:rsidRDefault="0002051E" w:rsidP="00EB6888">
      <w:pPr>
        <w:jc w:val="center"/>
        <w:rPr>
          <w:rFonts w:ascii="Arial" w:hAnsi="Arial" w:cs="Arial"/>
          <w:b/>
        </w:rPr>
      </w:pPr>
      <w:r w:rsidRPr="00382A00">
        <w:rPr>
          <w:rFonts w:ascii="Arial" w:hAnsi="Arial" w:cs="Arial"/>
          <w:b/>
          <w:sz w:val="28"/>
        </w:rPr>
        <w:t>Course Readings</w:t>
      </w:r>
      <w:r>
        <w:rPr>
          <w:rFonts w:ascii="Arial" w:hAnsi="Arial" w:cs="Arial"/>
          <w:b/>
          <w:sz w:val="28"/>
        </w:rPr>
        <w:t>, Spring 2011</w:t>
      </w:r>
      <w:r w:rsidRPr="00382A00">
        <w:rPr>
          <w:rFonts w:ascii="Arial" w:hAnsi="Arial" w:cs="Arial"/>
          <w:b/>
        </w:rPr>
        <w:t xml:space="preserve"> </w:t>
      </w:r>
    </w:p>
    <w:p w:rsidR="0002051E" w:rsidRPr="00382A00" w:rsidRDefault="0002051E" w:rsidP="00EB6888">
      <w:pPr>
        <w:jc w:val="center"/>
        <w:rPr>
          <w:rFonts w:ascii="Arial" w:hAnsi="Arial" w:cs="Arial"/>
          <w:b/>
        </w:rPr>
      </w:pPr>
    </w:p>
    <w:p w:rsidR="0002051E" w:rsidRPr="00382A00" w:rsidRDefault="0002051E" w:rsidP="00EB6888">
      <w:pPr>
        <w:jc w:val="center"/>
        <w:rPr>
          <w:rFonts w:ascii="Arial" w:hAnsi="Arial" w:cs="Arial"/>
          <w:b/>
        </w:rPr>
      </w:pPr>
    </w:p>
    <w:p w:rsidR="0002051E" w:rsidRPr="00F81A00" w:rsidRDefault="0002051E" w:rsidP="00EB6888">
      <w:pPr>
        <w:rPr>
          <w:rFonts w:ascii="Arial" w:hAnsi="Arial" w:cs="Arial"/>
          <w:b/>
          <w:sz w:val="28"/>
        </w:rPr>
      </w:pPr>
      <w:r w:rsidRPr="00F81A00">
        <w:rPr>
          <w:rFonts w:ascii="Arial" w:hAnsi="Arial" w:cs="Arial"/>
          <w:b/>
          <w:sz w:val="28"/>
        </w:rPr>
        <w:t xml:space="preserve">Week One (March </w:t>
      </w:r>
      <w:r>
        <w:rPr>
          <w:rFonts w:ascii="Arial" w:hAnsi="Arial" w:cs="Arial"/>
          <w:b/>
          <w:sz w:val="28"/>
        </w:rPr>
        <w:t>29</w:t>
      </w:r>
      <w:r w:rsidRPr="00F81A00">
        <w:rPr>
          <w:rFonts w:ascii="Arial" w:hAnsi="Arial" w:cs="Arial"/>
          <w:b/>
          <w:sz w:val="28"/>
        </w:rPr>
        <w:t>)</w:t>
      </w:r>
    </w:p>
    <w:p w:rsidR="0002051E" w:rsidRPr="00382A00" w:rsidRDefault="0002051E" w:rsidP="00944322">
      <w:pPr>
        <w:ind w:left="288"/>
        <w:rPr>
          <w:rFonts w:ascii="Arial" w:hAnsi="Arial" w:cs="Arial"/>
        </w:rPr>
      </w:pPr>
      <w:r w:rsidRPr="00382A00">
        <w:rPr>
          <w:rFonts w:ascii="Arial" w:hAnsi="Arial" w:cs="Arial"/>
        </w:rPr>
        <w:t>Introductions</w:t>
      </w:r>
      <w:r>
        <w:rPr>
          <w:rFonts w:ascii="Arial" w:hAnsi="Arial" w:cs="Arial"/>
        </w:rPr>
        <w:t xml:space="preserve">, </w:t>
      </w:r>
      <w:r w:rsidRPr="00382A00">
        <w:rPr>
          <w:rFonts w:ascii="Arial" w:hAnsi="Arial" w:cs="Arial"/>
        </w:rPr>
        <w:t>overview of course, expectations.</w:t>
      </w:r>
    </w:p>
    <w:p w:rsidR="0002051E" w:rsidRPr="00382A00" w:rsidRDefault="0002051E" w:rsidP="00944322">
      <w:pPr>
        <w:ind w:left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What is policy, policy analysis, policy evaluation, policy research? </w:t>
      </w:r>
    </w:p>
    <w:p w:rsidR="0002051E" w:rsidRPr="00382A00" w:rsidRDefault="0002051E" w:rsidP="00EB6888">
      <w:pPr>
        <w:rPr>
          <w:rFonts w:ascii="Arial" w:hAnsi="Arial" w:cs="Arial"/>
          <w:b/>
        </w:rPr>
      </w:pPr>
    </w:p>
    <w:p w:rsidR="0002051E" w:rsidRPr="00382A00" w:rsidRDefault="0002051E" w:rsidP="00EA7B60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 xml:space="preserve">Readings: </w:t>
      </w:r>
    </w:p>
    <w:p w:rsidR="0002051E" w:rsidRPr="00382A00" w:rsidRDefault="0002051E" w:rsidP="00AB61BD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W</w:t>
      </w:r>
      <w:r>
        <w:rPr>
          <w:rFonts w:ascii="Arial" w:hAnsi="Arial" w:cs="Arial"/>
        </w:rPr>
        <w:t>eimer</w:t>
      </w:r>
      <w:r w:rsidRPr="00382A00">
        <w:rPr>
          <w:rFonts w:ascii="Arial" w:hAnsi="Arial" w:cs="Arial"/>
        </w:rPr>
        <w:t xml:space="preserve"> &amp; V</w:t>
      </w:r>
      <w:r>
        <w:rPr>
          <w:rFonts w:ascii="Arial" w:hAnsi="Arial" w:cs="Arial"/>
        </w:rPr>
        <w:t>ining (W &amp; V)</w:t>
      </w:r>
      <w:r w:rsidRPr="00382A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Chap.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 </w:t>
      </w:r>
      <w:r w:rsidRPr="00382A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(chap. 1 is optional)</w:t>
      </w:r>
      <w:r w:rsidRPr="00382A00">
        <w:rPr>
          <w:rFonts w:ascii="Arial" w:hAnsi="Arial" w:cs="Arial"/>
        </w:rPr>
        <w:t>.</w:t>
      </w:r>
    </w:p>
    <w:p w:rsidR="0002051E" w:rsidRPr="004616C1" w:rsidRDefault="0002051E" w:rsidP="004616C1">
      <w:pPr>
        <w:spacing w:after="120"/>
        <w:ind w:left="288" w:hanging="288"/>
        <w:rPr>
          <w:rFonts w:ascii="Arial" w:hAnsi="Arial" w:cs="Arial"/>
          <w:bCs/>
          <w:color w:val="000000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0B37BC">
        <w:rPr>
          <w:rFonts w:ascii="Arial" w:hAnsi="Arial" w:cs="Arial"/>
        </w:rPr>
        <w:t xml:space="preserve"> </w:t>
      </w:r>
      <w:r w:rsidRPr="000B37BC">
        <w:rPr>
          <w:rFonts w:ascii="Arial" w:hAnsi="Arial" w:cs="Arial"/>
          <w:bCs/>
          <w:color w:val="000000"/>
        </w:rPr>
        <w:t xml:space="preserve">D. Carlson (2011). “Trends and innovations in public policy analysis,” </w:t>
      </w:r>
      <w:r w:rsidRPr="000B37BC">
        <w:rPr>
          <w:rFonts w:ascii="Arial" w:hAnsi="Arial" w:cs="Arial"/>
          <w:bCs/>
          <w:i/>
          <w:color w:val="000000"/>
        </w:rPr>
        <w:t>Policy Studies Journal</w:t>
      </w:r>
      <w:r w:rsidRPr="000B37BC">
        <w:rPr>
          <w:rFonts w:ascii="Arial" w:hAnsi="Arial" w:cs="Arial"/>
          <w:i/>
          <w:iCs/>
        </w:rPr>
        <w:t xml:space="preserve"> Vol. 39, No. S1, 2011, pp. 13-26.</w:t>
      </w:r>
    </w:p>
    <w:p w:rsidR="0002051E" w:rsidRPr="00382A00" w:rsidRDefault="0002051E" w:rsidP="004616C1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 (Optional) </w:t>
      </w:r>
      <w:r w:rsidRPr="00382A00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Radin (2000).  </w:t>
      </w:r>
      <w:r w:rsidRPr="00382A00">
        <w:rPr>
          <w:rFonts w:ascii="Arial" w:hAnsi="Arial" w:cs="Arial"/>
          <w:i/>
        </w:rPr>
        <w:t>Beyond Machiavelli: Policy Analysis Comes of Age</w:t>
      </w:r>
      <w:r w:rsidRPr="00382A00">
        <w:rPr>
          <w:rFonts w:ascii="Arial" w:hAnsi="Arial" w:cs="Arial"/>
        </w:rPr>
        <w:t xml:space="preserve">. Washington, DC: Georgetown University Press.  </w:t>
      </w:r>
      <w:r>
        <w:rPr>
          <w:rFonts w:ascii="Arial" w:hAnsi="Arial" w:cs="Arial"/>
        </w:rPr>
        <w:t>Chap.</w:t>
      </w:r>
      <w:r w:rsidRPr="00382A00">
        <w:rPr>
          <w:rFonts w:ascii="Arial" w:hAnsi="Arial" w:cs="Arial"/>
        </w:rPr>
        <w:t xml:space="preserve"> 1-2. </w:t>
      </w:r>
    </w:p>
    <w:p w:rsidR="0002051E" w:rsidRPr="00382A00" w:rsidRDefault="0002051E" w:rsidP="00935781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(Optional) </w:t>
      </w:r>
      <w:r w:rsidRPr="00382A00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Weiss, “Helping Government Think: Functions and Consequences of Policy Analysis Organizations,” pp. 1-18, in Weiss (ed.). </w:t>
      </w:r>
      <w:r w:rsidRPr="00382A00">
        <w:rPr>
          <w:rFonts w:ascii="Arial" w:hAnsi="Arial" w:cs="Arial"/>
          <w:i/>
        </w:rPr>
        <w:t>Organizations for Policy Analysis: Helping Government Think</w:t>
      </w:r>
      <w:r w:rsidRPr="00382A00">
        <w:rPr>
          <w:rFonts w:ascii="Arial" w:hAnsi="Arial" w:cs="Arial"/>
        </w:rPr>
        <w:t xml:space="preserve">. Newbury Park, CA: Sage Publications, 1992. </w:t>
      </w:r>
    </w:p>
    <w:p w:rsidR="0002051E" w:rsidRPr="00382A00" w:rsidRDefault="0002051E" w:rsidP="004616C1">
      <w:pPr>
        <w:spacing w:after="120"/>
        <w:ind w:left="288" w:hanging="28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(Optional) </w:t>
      </w:r>
      <w:r w:rsidRPr="00382A00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Kingdon (1995). “The Policy Window and Joining the Streams.” </w:t>
      </w:r>
      <w:r>
        <w:rPr>
          <w:rFonts w:ascii="Arial" w:hAnsi="Arial" w:cs="Arial"/>
        </w:rPr>
        <w:t>Chap.</w:t>
      </w:r>
      <w:r w:rsidRPr="00382A00">
        <w:rPr>
          <w:rFonts w:ascii="Arial" w:hAnsi="Arial" w:cs="Arial"/>
        </w:rPr>
        <w:t xml:space="preserve"> 8 in </w:t>
      </w:r>
      <w:r w:rsidRPr="00382A00">
        <w:rPr>
          <w:rFonts w:ascii="Arial" w:hAnsi="Arial" w:cs="Arial"/>
          <w:i/>
        </w:rPr>
        <w:t>Agendas, Alternatives and Public Policies</w:t>
      </w:r>
      <w:r w:rsidRPr="00382A00">
        <w:rPr>
          <w:rFonts w:ascii="Arial" w:hAnsi="Arial" w:cs="Arial"/>
        </w:rPr>
        <w:t>, 2</w:t>
      </w:r>
      <w:r w:rsidRPr="00382A00">
        <w:rPr>
          <w:rFonts w:ascii="Arial" w:hAnsi="Arial" w:cs="Arial"/>
          <w:vertAlign w:val="superscript"/>
        </w:rPr>
        <w:t>nd</w:t>
      </w:r>
      <w:r w:rsidRPr="00382A00">
        <w:rPr>
          <w:rFonts w:ascii="Arial" w:hAnsi="Arial" w:cs="Arial"/>
        </w:rPr>
        <w:t xml:space="preserve"> ed.: NY: Harper Collins, pp. 165-195. </w:t>
      </w:r>
    </w:p>
    <w:p w:rsidR="0002051E" w:rsidRDefault="0002051E" w:rsidP="00EB6888">
      <w:pPr>
        <w:rPr>
          <w:rFonts w:ascii="Palatino1-Bold" w:hAnsi="Palatino1-Bold" w:cs="Palatino1-Bold"/>
          <w:b/>
          <w:bCs/>
          <w:color w:val="000000"/>
          <w:sz w:val="28"/>
          <w:szCs w:val="28"/>
        </w:rPr>
      </w:pPr>
    </w:p>
    <w:p w:rsidR="0002051E" w:rsidRPr="00F81A00" w:rsidRDefault="0002051E" w:rsidP="00EB6888">
      <w:pPr>
        <w:rPr>
          <w:rFonts w:ascii="Arial" w:hAnsi="Arial" w:cs="Arial"/>
          <w:b/>
          <w:sz w:val="28"/>
        </w:rPr>
      </w:pPr>
      <w:r w:rsidRPr="00F81A00">
        <w:rPr>
          <w:rFonts w:ascii="Arial" w:hAnsi="Arial" w:cs="Arial"/>
          <w:b/>
          <w:sz w:val="28"/>
        </w:rPr>
        <w:t xml:space="preserve">Week Two (April </w:t>
      </w:r>
      <w:r>
        <w:rPr>
          <w:rFonts w:ascii="Arial" w:hAnsi="Arial" w:cs="Arial"/>
          <w:b/>
          <w:sz w:val="28"/>
        </w:rPr>
        <w:t>5</w:t>
      </w:r>
      <w:r w:rsidRPr="00F81A00">
        <w:rPr>
          <w:rFonts w:ascii="Arial" w:hAnsi="Arial" w:cs="Arial"/>
          <w:b/>
          <w:sz w:val="28"/>
        </w:rPr>
        <w:t>)</w:t>
      </w:r>
    </w:p>
    <w:p w:rsidR="0002051E" w:rsidRPr="00382A00" w:rsidRDefault="0002051E" w:rsidP="00944322">
      <w:pPr>
        <w:ind w:left="288"/>
        <w:rPr>
          <w:rFonts w:ascii="Arial" w:hAnsi="Arial" w:cs="Arial"/>
        </w:rPr>
      </w:pPr>
      <w:r w:rsidRPr="00382A00">
        <w:rPr>
          <w:rFonts w:ascii="Arial" w:hAnsi="Arial" w:cs="Arial"/>
        </w:rPr>
        <w:t>The mainstream policy analysis model</w:t>
      </w:r>
      <w:r>
        <w:rPr>
          <w:rFonts w:ascii="Arial" w:hAnsi="Arial" w:cs="Arial"/>
        </w:rPr>
        <w:t xml:space="preserve"> –</w:t>
      </w:r>
      <w:r w:rsidRPr="00382A00">
        <w:rPr>
          <w:rFonts w:ascii="Arial" w:hAnsi="Arial" w:cs="Arial"/>
        </w:rPr>
        <w:t xml:space="preserve"> economics</w:t>
      </w:r>
      <w:r>
        <w:rPr>
          <w:rFonts w:ascii="Arial" w:hAnsi="Arial" w:cs="Arial"/>
        </w:rPr>
        <w:t xml:space="preserve"> of</w:t>
      </w:r>
      <w:r w:rsidRPr="00382A00">
        <w:rPr>
          <w:rFonts w:ascii="Arial" w:hAnsi="Arial" w:cs="Arial"/>
        </w:rPr>
        <w:t xml:space="preserve"> market failures.</w:t>
      </w:r>
    </w:p>
    <w:p w:rsidR="0002051E" w:rsidRPr="00776B16" w:rsidRDefault="0002051E" w:rsidP="00EB6888">
      <w:pPr>
        <w:rPr>
          <w:rFonts w:ascii="Arial" w:hAnsi="Arial" w:cs="Arial"/>
        </w:rPr>
      </w:pPr>
    </w:p>
    <w:p w:rsidR="0002051E" w:rsidRPr="00382A00" w:rsidRDefault="0002051E" w:rsidP="00776B16">
      <w:pPr>
        <w:rPr>
          <w:rFonts w:ascii="Arial" w:hAnsi="Arial" w:cs="Arial"/>
        </w:rPr>
      </w:pPr>
      <w:r w:rsidRPr="00382A00">
        <w:rPr>
          <w:rFonts w:ascii="Arial" w:hAnsi="Arial" w:cs="Arial"/>
        </w:rPr>
        <w:t>Weimer &amp; Vining provide</w:t>
      </w:r>
      <w:r>
        <w:rPr>
          <w:rFonts w:ascii="Arial" w:hAnsi="Arial" w:cs="Arial"/>
        </w:rPr>
        <w:t>s</w:t>
      </w:r>
      <w:r w:rsidRPr="00382A00">
        <w:rPr>
          <w:rFonts w:ascii="Arial" w:hAnsi="Arial" w:cs="Arial"/>
        </w:rPr>
        <w:t xml:space="preserve"> a well-recognized conceptual framework for the basic “modified rationalist” approach to contemporary policy analysis. </w:t>
      </w:r>
      <w:r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Th</w:t>
      </w:r>
      <w:r>
        <w:rPr>
          <w:rFonts w:ascii="Arial" w:hAnsi="Arial" w:cs="Arial"/>
        </w:rPr>
        <w:t>ough the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material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Pr="00382A00">
        <w:rPr>
          <w:rFonts w:ascii="Arial" w:hAnsi="Arial" w:cs="Arial"/>
        </w:rPr>
        <w:t xml:space="preserve"> be familiar to some of you</w:t>
      </w:r>
      <w:r>
        <w:rPr>
          <w:rFonts w:ascii="Arial" w:hAnsi="Arial" w:cs="Arial"/>
        </w:rPr>
        <w:t xml:space="preserve">, it bears a careful re-reading. </w:t>
      </w:r>
      <w:r w:rsidRPr="00382A00">
        <w:rPr>
          <w:rFonts w:ascii="Arial" w:hAnsi="Arial" w:cs="Arial"/>
        </w:rPr>
        <w:t xml:space="preserve"> The journal articles provide examples of published empirical research within this framework and </w:t>
      </w:r>
      <w:r>
        <w:rPr>
          <w:rFonts w:ascii="Arial" w:hAnsi="Arial" w:cs="Arial"/>
        </w:rPr>
        <w:t>material</w:t>
      </w:r>
      <w:r w:rsidRPr="00382A00">
        <w:rPr>
          <w:rFonts w:ascii="Arial" w:hAnsi="Arial" w:cs="Arial"/>
        </w:rPr>
        <w:t xml:space="preserve"> for class discussion. </w:t>
      </w:r>
      <w:r>
        <w:rPr>
          <w:rFonts w:ascii="Arial" w:hAnsi="Arial" w:cs="Arial"/>
        </w:rPr>
        <w:t>The s</w:t>
      </w:r>
      <w:r w:rsidRPr="00382A00">
        <w:rPr>
          <w:rFonts w:ascii="Arial" w:hAnsi="Arial" w:cs="Arial"/>
        </w:rPr>
        <w:t xml:space="preserve">ame applies to </w:t>
      </w:r>
      <w:r>
        <w:rPr>
          <w:rFonts w:ascii="Arial" w:hAnsi="Arial" w:cs="Arial"/>
        </w:rPr>
        <w:t>w</w:t>
      </w:r>
      <w:r w:rsidRPr="00382A00">
        <w:rPr>
          <w:rFonts w:ascii="Arial" w:hAnsi="Arial" w:cs="Arial"/>
        </w:rPr>
        <w:t xml:space="preserve">eeks </w:t>
      </w:r>
      <w:r>
        <w:rPr>
          <w:rFonts w:ascii="Arial" w:hAnsi="Arial" w:cs="Arial"/>
        </w:rPr>
        <w:t>3-5</w:t>
      </w:r>
      <w:r w:rsidRPr="00382A00">
        <w:rPr>
          <w:rFonts w:ascii="Arial" w:hAnsi="Arial" w:cs="Arial"/>
        </w:rPr>
        <w:t xml:space="preserve">. </w:t>
      </w:r>
    </w:p>
    <w:p w:rsidR="0002051E" w:rsidRPr="00382A00" w:rsidRDefault="0002051E" w:rsidP="00776B16">
      <w:pPr>
        <w:rPr>
          <w:rFonts w:ascii="Arial" w:hAnsi="Arial" w:cs="Arial"/>
        </w:rPr>
      </w:pPr>
    </w:p>
    <w:p w:rsidR="0002051E" w:rsidRDefault="0002051E" w:rsidP="00021E4D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W &amp; V., ch</w:t>
      </w:r>
      <w:r>
        <w:rPr>
          <w:rFonts w:ascii="Arial" w:hAnsi="Arial" w:cs="Arial"/>
        </w:rPr>
        <w:t>ap</w:t>
      </w:r>
      <w:r w:rsidRPr="00382A00">
        <w:rPr>
          <w:rFonts w:ascii="Arial" w:hAnsi="Arial" w:cs="Arial"/>
        </w:rPr>
        <w:t xml:space="preserve">. 4, 5, </w:t>
      </w:r>
      <w:r>
        <w:rPr>
          <w:rFonts w:ascii="Arial" w:hAnsi="Arial" w:cs="Arial"/>
        </w:rPr>
        <w:t xml:space="preserve">and </w:t>
      </w:r>
      <w:r w:rsidRPr="00382A00">
        <w:rPr>
          <w:rFonts w:ascii="Arial" w:hAnsi="Arial" w:cs="Arial"/>
        </w:rPr>
        <w:t xml:space="preserve">6. </w:t>
      </w:r>
    </w:p>
    <w:p w:rsidR="0002051E" w:rsidRPr="00382A00" w:rsidRDefault="0002051E" w:rsidP="00C32C5F">
      <w:pPr>
        <w:spacing w:after="120"/>
        <w:ind w:left="288" w:hanging="288"/>
        <w:rPr>
          <w:rFonts w:ascii="Arial" w:hAnsi="Arial" w:cs="Arial"/>
        </w:rPr>
      </w:pPr>
      <w:bookmarkStart w:id="0" w:name="Result_10"/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  <w:sz w:val="28"/>
        </w:rPr>
        <w:t xml:space="preserve"> </w:t>
      </w:r>
      <w:r w:rsidRPr="00382A00">
        <w:rPr>
          <w:rFonts w:ascii="Arial" w:hAnsi="Arial" w:cs="Arial"/>
        </w:rPr>
        <w:t xml:space="preserve">A. Jaffe, R. Newell, and R. Stavins (2005).  “A Tale of Two Market Failures: Technology and Environmental Policy.” </w:t>
      </w:r>
      <w:r w:rsidRPr="00382A00">
        <w:rPr>
          <w:rFonts w:ascii="Arial" w:hAnsi="Arial" w:cs="Arial"/>
          <w:i/>
        </w:rPr>
        <w:t>Ecological Economics</w:t>
      </w:r>
      <w:r w:rsidRPr="00382A00">
        <w:rPr>
          <w:rFonts w:ascii="Arial" w:hAnsi="Arial" w:cs="Arial"/>
        </w:rPr>
        <w:t xml:space="preserve"> 54, 164-174.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(Externalities)</w:t>
      </w:r>
    </w:p>
    <w:p w:rsidR="0002051E" w:rsidRPr="00947F0F" w:rsidRDefault="0002051E" w:rsidP="002B7F8F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  <w:sz w:val="28"/>
        </w:rPr>
        <w:t xml:space="preserve"> </w:t>
      </w:r>
      <w:r w:rsidRPr="004D77C0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4D77C0">
        <w:rPr>
          <w:rFonts w:ascii="Arial" w:hAnsi="Arial" w:cs="Arial"/>
        </w:rPr>
        <w:t xml:space="preserve"> Frank (2008). “</w:t>
      </w:r>
      <w:r w:rsidRPr="004D77C0">
        <w:rPr>
          <w:rFonts w:ascii="Arial" w:hAnsi="Arial" w:cs="Arial"/>
          <w:bCs/>
        </w:rPr>
        <w:t xml:space="preserve">Should public policy respond to </w:t>
      </w:r>
      <w:r w:rsidRPr="002B3CFA">
        <w:rPr>
          <w:rFonts w:ascii="Arial" w:hAnsi="Arial" w:cs="Arial"/>
          <w:bCs/>
        </w:rPr>
        <w:t>positional externalities</w:t>
      </w:r>
      <w:r w:rsidRPr="004D77C0">
        <w:rPr>
          <w:rFonts w:ascii="Arial" w:hAnsi="Arial" w:cs="Arial"/>
          <w:bCs/>
        </w:rPr>
        <w:t xml:space="preserve">?” </w:t>
      </w:r>
      <w:r w:rsidRPr="004D77C0">
        <w:rPr>
          <w:rFonts w:ascii="Arial" w:hAnsi="Arial" w:cs="Arial"/>
          <w:bCs/>
          <w:i/>
        </w:rPr>
        <w:t>Journal of Public Economics</w:t>
      </w:r>
      <w:r w:rsidRPr="004D77C0">
        <w:rPr>
          <w:rFonts w:ascii="Arial" w:hAnsi="Arial" w:cs="Arial"/>
          <w:bCs/>
        </w:rPr>
        <w:t xml:space="preserve"> 92</w:t>
      </w:r>
      <w:r>
        <w:rPr>
          <w:rFonts w:ascii="Arial" w:hAnsi="Arial" w:cs="Arial"/>
          <w:bCs/>
        </w:rPr>
        <w:t>(</w:t>
      </w:r>
      <w:r w:rsidRPr="004D77C0">
        <w:rPr>
          <w:rFonts w:ascii="Arial" w:hAnsi="Arial" w:cs="Arial"/>
          <w:bCs/>
        </w:rPr>
        <w:t>8-9</w:t>
      </w:r>
      <w:r>
        <w:rPr>
          <w:rFonts w:ascii="Arial" w:hAnsi="Arial" w:cs="Arial"/>
          <w:bCs/>
        </w:rPr>
        <w:t>)</w:t>
      </w:r>
      <w:r w:rsidRPr="004D77C0">
        <w:rPr>
          <w:rFonts w:ascii="Arial" w:hAnsi="Arial" w:cs="Arial"/>
          <w:bCs/>
        </w:rPr>
        <w:t>, pp. 1773-1862.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Cs w:val="22"/>
        </w:rPr>
        <w:t>(Externalities)</w:t>
      </w:r>
    </w:p>
    <w:p w:rsidR="0002051E" w:rsidRDefault="0002051E">
      <w:pPr>
        <w:rPr>
          <w:rFonts w:ascii="Arial" w:hAnsi="Arial" w:cs="Arial"/>
        </w:rPr>
      </w:pPr>
    </w:p>
    <w:p w:rsidR="0002051E" w:rsidRPr="00FA4D7B" w:rsidRDefault="0002051E" w:rsidP="00BD661F">
      <w:pPr>
        <w:spacing w:after="120"/>
        <w:ind w:left="288" w:hanging="288"/>
        <w:rPr>
          <w:rFonts w:ascii="Arial" w:hAnsi="Arial" w:cs="Arial"/>
          <w:bCs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13.55pt;margin-top:6.3pt;width:7.15pt;height:72.45pt;z-index:251659776" strokeweight="1.5pt"/>
        </w:pict>
      </w:r>
      <w:r w:rsidRPr="00FA4D7B">
        <w:rPr>
          <w:rFonts w:ascii="Arial" w:hAnsi="Arial" w:cs="Arial"/>
        </w:rPr>
        <w:t xml:space="preserve">S. Manzoor &amp; J. Straub (2005). </w:t>
      </w:r>
      <w:r>
        <w:rPr>
          <w:rFonts w:ascii="Arial" w:hAnsi="Arial" w:cs="Arial"/>
        </w:rPr>
        <w:t>“</w:t>
      </w:r>
      <w:r w:rsidRPr="00FA4D7B">
        <w:rPr>
          <w:rFonts w:ascii="Arial" w:hAnsi="Arial" w:cs="Arial"/>
          <w:bCs/>
        </w:rPr>
        <w:t>The robustness of Kingma’s crowd-out estimate: Evidence from new data on contributions to public radio</w:t>
      </w:r>
      <w:r>
        <w:rPr>
          <w:rFonts w:ascii="Arial" w:hAnsi="Arial" w:cs="Arial"/>
          <w:bCs/>
        </w:rPr>
        <w:t>.”</w:t>
      </w:r>
      <w:r w:rsidRPr="00FA4D7B">
        <w:rPr>
          <w:rFonts w:ascii="Arial" w:hAnsi="Arial" w:cs="Arial"/>
        </w:rPr>
        <w:t xml:space="preserve"> </w:t>
      </w:r>
      <w:r w:rsidRPr="00FA4D7B">
        <w:rPr>
          <w:rFonts w:ascii="Arial" w:hAnsi="Arial" w:cs="Arial"/>
          <w:i/>
        </w:rPr>
        <w:t>Public Choice</w:t>
      </w:r>
      <w:r w:rsidRPr="00FA4D7B">
        <w:rPr>
          <w:rFonts w:ascii="Arial" w:hAnsi="Arial" w:cs="Arial"/>
        </w:rPr>
        <w:t xml:space="preserve"> 123</w:t>
      </w:r>
      <w:r>
        <w:rPr>
          <w:rFonts w:ascii="Arial" w:hAnsi="Arial" w:cs="Arial"/>
        </w:rPr>
        <w:t>(3-4)</w:t>
      </w:r>
      <w:r w:rsidRPr="00FA4D7B">
        <w:rPr>
          <w:rFonts w:ascii="Arial" w:hAnsi="Arial" w:cs="Arial"/>
        </w:rPr>
        <w:t>: 463–476.</w:t>
      </w:r>
      <w:r>
        <w:rPr>
          <w:rFonts w:ascii="Arial" w:hAnsi="Arial" w:cs="Arial"/>
        </w:rPr>
        <w:t xml:space="preserve"> (Public goods) </w:t>
      </w:r>
      <w:r w:rsidRPr="003021C9">
        <w:rPr>
          <w:rFonts w:ascii="Arial" w:hAnsi="Arial" w:cs="Arial"/>
          <w:highlight w:val="green"/>
        </w:rPr>
        <w:t>OR</w:t>
      </w:r>
    </w:p>
    <w:p w:rsidR="0002051E" w:rsidRPr="00FA4D7B" w:rsidRDefault="0002051E" w:rsidP="00BD661F">
      <w:pPr>
        <w:spacing w:after="120"/>
        <w:ind w:left="288" w:hanging="288"/>
        <w:rPr>
          <w:rFonts w:ascii="Arial" w:hAnsi="Arial" w:cs="Arial"/>
        </w:rPr>
      </w:pPr>
      <w:r w:rsidRPr="00FA4D7B">
        <w:rPr>
          <w:rStyle w:val="title-link-wrapper1"/>
          <w:rFonts w:ascii="Arial" w:hAnsi="Arial" w:cs="Arial"/>
        </w:rPr>
        <w:t>J</w:t>
      </w:r>
      <w:r>
        <w:rPr>
          <w:rStyle w:val="title-link-wrapper1"/>
          <w:rFonts w:ascii="Arial" w:hAnsi="Arial" w:cs="Arial"/>
        </w:rPr>
        <w:t>.</w:t>
      </w:r>
      <w:r w:rsidRPr="00FA4D7B">
        <w:rPr>
          <w:rStyle w:val="title-link-wrapper1"/>
          <w:rFonts w:ascii="Arial" w:hAnsi="Arial" w:cs="Arial"/>
        </w:rPr>
        <w:t xml:space="preserve"> Dokko (2009)</w:t>
      </w:r>
      <w:r>
        <w:rPr>
          <w:rStyle w:val="title-link-wrapper1"/>
          <w:rFonts w:ascii="Arial" w:hAnsi="Arial" w:cs="Arial"/>
        </w:rPr>
        <w:t>.</w:t>
      </w:r>
      <w:r w:rsidRPr="00FA4D7B">
        <w:rPr>
          <w:rStyle w:val="title-link-wrapper1"/>
          <w:rFonts w:ascii="Arial" w:hAnsi="Arial" w:cs="Arial"/>
        </w:rPr>
        <w:t xml:space="preserve"> </w:t>
      </w:r>
      <w:r>
        <w:rPr>
          <w:rStyle w:val="title-link-wrapper1"/>
          <w:rFonts w:ascii="Arial" w:hAnsi="Arial" w:cs="Arial"/>
        </w:rPr>
        <w:t>“</w:t>
      </w:r>
      <w:r w:rsidRPr="00FA4D7B">
        <w:rPr>
          <w:rStyle w:val="title-link-wrapper1"/>
          <w:rFonts w:ascii="Arial" w:hAnsi="Arial" w:cs="Arial"/>
        </w:rPr>
        <w:t>Does the NEA Crowd Out Private Charitable Contributions to the Arts?</w:t>
      </w:r>
      <w:bookmarkEnd w:id="0"/>
      <w:r>
        <w:rPr>
          <w:rStyle w:val="title-link-wrapper1"/>
          <w:rFonts w:ascii="Arial" w:hAnsi="Arial" w:cs="Arial"/>
        </w:rPr>
        <w:t>”</w:t>
      </w:r>
      <w:r w:rsidRPr="00FA4D7B">
        <w:rPr>
          <w:rFonts w:ascii="Arial" w:hAnsi="Arial" w:cs="Arial"/>
        </w:rPr>
        <w:t xml:space="preserve"> </w:t>
      </w:r>
      <w:r w:rsidRPr="00FA4D7B">
        <w:rPr>
          <w:rStyle w:val="medium-font1"/>
          <w:rFonts w:ascii="Arial" w:hAnsi="Arial" w:cs="Arial"/>
          <w:i/>
          <w:sz w:val="24"/>
          <w:szCs w:val="24"/>
        </w:rPr>
        <w:t>National Tax Journal</w:t>
      </w:r>
      <w:r w:rsidRPr="00FA4D7B">
        <w:rPr>
          <w:rStyle w:val="medium-font1"/>
          <w:rFonts w:ascii="Arial" w:hAnsi="Arial" w:cs="Arial"/>
          <w:sz w:val="24"/>
          <w:szCs w:val="24"/>
        </w:rPr>
        <w:t>, March 2009, pp. 57-75</w:t>
      </w:r>
      <w:r>
        <w:rPr>
          <w:rStyle w:val="medium-font1"/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</w:rPr>
        <w:t>(Public goods)</w:t>
      </w:r>
    </w:p>
    <w:p w:rsidR="0002051E" w:rsidRDefault="0002051E" w:rsidP="00021E4D">
      <w:pPr>
        <w:spacing w:after="120"/>
        <w:ind w:left="288" w:hanging="288"/>
        <w:rPr>
          <w:rFonts w:ascii="Arial" w:hAnsi="Arial" w:cs="Arial"/>
          <w:szCs w:val="22"/>
        </w:rPr>
      </w:pPr>
      <w:r>
        <w:rPr>
          <w:noProof/>
        </w:rPr>
        <w:pict>
          <v:shape id="_x0000_s1027" type="#_x0000_t87" style="position:absolute;left:0;text-align:left;margin-left:-20.7pt;margin-top:3.9pt;width:7.15pt;height:98.7pt;z-index:251656704" strokeweight="1.5pt"/>
        </w:pict>
      </w:r>
      <w:r w:rsidRPr="00F013D5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>.</w:t>
      </w:r>
      <w:r w:rsidRPr="00F013D5">
        <w:rPr>
          <w:rFonts w:ascii="Arial" w:hAnsi="Arial" w:cs="Arial"/>
          <w:szCs w:val="22"/>
        </w:rPr>
        <w:t xml:space="preserve"> Chay </w:t>
      </w:r>
      <w:r>
        <w:rPr>
          <w:rFonts w:ascii="Arial" w:hAnsi="Arial" w:cs="Arial"/>
          <w:szCs w:val="22"/>
        </w:rPr>
        <w:t>&amp;</w:t>
      </w:r>
      <w:r w:rsidRPr="00F013D5">
        <w:rPr>
          <w:rFonts w:ascii="Arial" w:hAnsi="Arial" w:cs="Arial"/>
          <w:szCs w:val="22"/>
        </w:rPr>
        <w:t xml:space="preserve"> M</w:t>
      </w:r>
      <w:r>
        <w:rPr>
          <w:rFonts w:ascii="Arial" w:hAnsi="Arial" w:cs="Arial"/>
          <w:szCs w:val="22"/>
        </w:rPr>
        <w:t>.</w:t>
      </w:r>
      <w:r w:rsidRPr="00F013D5">
        <w:rPr>
          <w:rFonts w:ascii="Arial" w:hAnsi="Arial" w:cs="Arial"/>
          <w:szCs w:val="22"/>
        </w:rPr>
        <w:t xml:space="preserve"> Greenstone (2003). “The Impact of Air Pollution on Infant Mortality: Evidence from Geographic Variation in Pollution Shocks Induced by a Recession,” </w:t>
      </w:r>
      <w:r w:rsidRPr="00F013D5">
        <w:rPr>
          <w:rFonts w:ascii="Arial" w:hAnsi="Arial" w:cs="Arial"/>
          <w:i/>
          <w:szCs w:val="22"/>
        </w:rPr>
        <w:t>Quarterly Journal of Economics</w:t>
      </w:r>
      <w:r w:rsidRPr="00F013D5">
        <w:rPr>
          <w:rFonts w:ascii="Arial" w:hAnsi="Arial" w:cs="Arial"/>
          <w:szCs w:val="22"/>
        </w:rPr>
        <w:t>, 118</w:t>
      </w:r>
      <w:r>
        <w:rPr>
          <w:rFonts w:ascii="Arial" w:hAnsi="Arial" w:cs="Arial"/>
          <w:szCs w:val="22"/>
        </w:rPr>
        <w:t xml:space="preserve"> (</w:t>
      </w:r>
      <w:r w:rsidRPr="00F013D5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)</w:t>
      </w:r>
      <w:r w:rsidRPr="00F013D5">
        <w:rPr>
          <w:rFonts w:ascii="Arial" w:hAnsi="Arial" w:cs="Arial"/>
          <w:szCs w:val="22"/>
        </w:rPr>
        <w:t>, 1</w:t>
      </w:r>
      <w:r>
        <w:rPr>
          <w:rFonts w:ascii="Arial" w:hAnsi="Arial" w:cs="Arial"/>
          <w:szCs w:val="22"/>
        </w:rPr>
        <w:t xml:space="preserve">121-1167. (Negative externalities)  </w:t>
      </w:r>
      <w:r w:rsidRPr="003021C9">
        <w:rPr>
          <w:rFonts w:ascii="Arial" w:hAnsi="Arial" w:cs="Arial"/>
          <w:highlight w:val="green"/>
        </w:rPr>
        <w:t>OR</w:t>
      </w:r>
    </w:p>
    <w:p w:rsidR="0002051E" w:rsidRPr="00B224D7" w:rsidRDefault="0002051E" w:rsidP="00021E4D">
      <w:pPr>
        <w:spacing w:after="120"/>
        <w:ind w:left="288" w:hanging="288"/>
        <w:rPr>
          <w:rFonts w:ascii="Arial" w:hAnsi="Arial" w:cs="Arial"/>
        </w:rPr>
      </w:pPr>
      <w:r w:rsidRPr="000B37BC">
        <w:rPr>
          <w:rFonts w:ascii="Arial" w:hAnsi="Arial" w:cs="Arial"/>
        </w:rPr>
        <w:t xml:space="preserve">J. Currie and R. Walker. 2011. "Traffic Congestion and Infant Health: Evidence from E-ZPass." </w:t>
      </w:r>
      <w:r w:rsidRPr="000B37BC">
        <w:rPr>
          <w:rFonts w:ascii="Arial" w:hAnsi="Arial" w:cs="Arial"/>
          <w:i/>
          <w:iCs/>
        </w:rPr>
        <w:t>American Economic Journal: Applied Economics</w:t>
      </w:r>
      <w:r w:rsidRPr="000B37BC">
        <w:rPr>
          <w:rFonts w:ascii="Arial" w:hAnsi="Arial" w:cs="Arial"/>
        </w:rPr>
        <w:t>, 3(1): 65–90. (Negative externalities)</w:t>
      </w:r>
      <w:r w:rsidRPr="00B224D7">
        <w:rPr>
          <w:rFonts w:ascii="Arial" w:hAnsi="Arial" w:cs="Arial"/>
        </w:rPr>
        <w:t xml:space="preserve"> </w:t>
      </w:r>
    </w:p>
    <w:p w:rsidR="0002051E" w:rsidRDefault="0002051E" w:rsidP="002761A8">
      <w:pPr>
        <w:spacing w:after="120"/>
        <w:ind w:left="288" w:hanging="288"/>
        <w:rPr>
          <w:rFonts w:ascii="Arial" w:hAnsi="Arial" w:cs="Arial"/>
        </w:rPr>
      </w:pPr>
      <w:r>
        <w:rPr>
          <w:noProof/>
        </w:rPr>
        <w:pict>
          <v:shape id="_x0000_s1028" type="#_x0000_t87" style="position:absolute;left:0;text-align:left;margin-left:-25.55pt;margin-top:10.5pt;width:7.15pt;height:131.35pt;z-index:251655680" strokeweight="1.5pt"/>
        </w:pict>
      </w:r>
      <w:r w:rsidRPr="00382A00">
        <w:rPr>
          <w:rFonts w:ascii="Arial" w:hAnsi="Arial" w:cs="Arial"/>
        </w:rPr>
        <w:t xml:space="preserve">M. K. Gugerty (2009). “Signaling </w:t>
      </w:r>
      <w:r>
        <w:rPr>
          <w:rFonts w:ascii="Arial" w:hAnsi="Arial" w:cs="Arial"/>
        </w:rPr>
        <w:t>v</w:t>
      </w:r>
      <w:r w:rsidRPr="00382A00">
        <w:rPr>
          <w:rFonts w:ascii="Arial" w:hAnsi="Arial" w:cs="Arial"/>
        </w:rPr>
        <w:t xml:space="preserve">irtue: Voluntary </w:t>
      </w:r>
      <w:r>
        <w:rPr>
          <w:rFonts w:ascii="Arial" w:hAnsi="Arial" w:cs="Arial"/>
        </w:rPr>
        <w:t>a</w:t>
      </w:r>
      <w:r w:rsidRPr="00382A00">
        <w:rPr>
          <w:rFonts w:ascii="Arial" w:hAnsi="Arial" w:cs="Arial"/>
        </w:rPr>
        <w:t xml:space="preserve">ccountability </w:t>
      </w:r>
      <w:r>
        <w:rPr>
          <w:rFonts w:ascii="Arial" w:hAnsi="Arial" w:cs="Arial"/>
        </w:rPr>
        <w:t>p</w:t>
      </w:r>
      <w:r w:rsidRPr="00382A00">
        <w:rPr>
          <w:rFonts w:ascii="Arial" w:hAnsi="Arial" w:cs="Arial"/>
        </w:rPr>
        <w:t xml:space="preserve">rograms among </w:t>
      </w:r>
      <w:r>
        <w:rPr>
          <w:rFonts w:ascii="Arial" w:hAnsi="Arial" w:cs="Arial"/>
        </w:rPr>
        <w:t>n</w:t>
      </w:r>
      <w:r w:rsidRPr="00382A00">
        <w:rPr>
          <w:rFonts w:ascii="Arial" w:hAnsi="Arial" w:cs="Arial"/>
        </w:rPr>
        <w:t xml:space="preserve">onprofit </w:t>
      </w:r>
      <w:r>
        <w:rPr>
          <w:rFonts w:ascii="Arial" w:hAnsi="Arial" w:cs="Arial"/>
        </w:rPr>
        <w:t>o</w:t>
      </w:r>
      <w:r w:rsidRPr="00382A00">
        <w:rPr>
          <w:rFonts w:ascii="Arial" w:hAnsi="Arial" w:cs="Arial"/>
        </w:rPr>
        <w:t xml:space="preserve">rganizations.” </w:t>
      </w:r>
      <w:r w:rsidRPr="00382A00">
        <w:rPr>
          <w:rFonts w:ascii="Arial" w:hAnsi="Arial" w:cs="Arial"/>
          <w:i/>
        </w:rPr>
        <w:t>Policy Sciences</w:t>
      </w:r>
      <w:r>
        <w:rPr>
          <w:rFonts w:ascii="Arial" w:hAnsi="Arial" w:cs="Arial"/>
        </w:rPr>
        <w:t xml:space="preserve">, </w:t>
      </w:r>
      <w:r w:rsidRPr="002761A8">
        <w:rPr>
          <w:rFonts w:ascii="Arial" w:hAnsi="Arial" w:cs="Arial"/>
        </w:rPr>
        <w:t xml:space="preserve">42, </w:t>
      </w:r>
      <w:r>
        <w:rPr>
          <w:rFonts w:ascii="Arial" w:hAnsi="Arial" w:cs="Arial"/>
        </w:rPr>
        <w:t xml:space="preserve">pp. </w:t>
      </w:r>
      <w:r w:rsidRPr="002761A8">
        <w:rPr>
          <w:rFonts w:ascii="Arial" w:hAnsi="Arial" w:cs="Arial"/>
        </w:rPr>
        <w:t>243–273</w:t>
      </w:r>
      <w:r>
        <w:rPr>
          <w:rFonts w:ascii="Arial" w:hAnsi="Arial" w:cs="Arial"/>
        </w:rPr>
        <w:t xml:space="preserve">. (Asymmetric information) </w:t>
      </w:r>
      <w:r w:rsidRPr="003021C9">
        <w:rPr>
          <w:rFonts w:ascii="Arial" w:hAnsi="Arial" w:cs="Arial"/>
          <w:highlight w:val="green"/>
        </w:rPr>
        <w:t>OR</w:t>
      </w:r>
    </w:p>
    <w:p w:rsidR="0002051E" w:rsidRDefault="0002051E" w:rsidP="002761A8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M. Potoski and A. Prakash (2009). “</w:t>
      </w:r>
      <w:r w:rsidRPr="002B3CFA">
        <w:rPr>
          <w:rFonts w:ascii="Arial" w:hAnsi="Arial" w:cs="Arial"/>
        </w:rPr>
        <w:t>Information asymmetries</w:t>
      </w:r>
      <w:r>
        <w:rPr>
          <w:rFonts w:ascii="Arial" w:hAnsi="Arial" w:cs="Arial"/>
        </w:rPr>
        <w:t xml:space="preserve"> as trade barriers: ISO 9000 increases international commerce,”</w:t>
      </w:r>
      <w:r w:rsidRPr="000C43EA">
        <w:rPr>
          <w:rFonts w:ascii="Arial" w:hAnsi="Arial" w:cs="Arial"/>
          <w:i/>
        </w:rPr>
        <w:t xml:space="preserve"> </w:t>
      </w:r>
      <w:r w:rsidRPr="00382A00">
        <w:rPr>
          <w:rFonts w:ascii="Arial" w:hAnsi="Arial" w:cs="Arial"/>
          <w:i/>
        </w:rPr>
        <w:t>Journal of Policy Analysis and Management</w:t>
      </w:r>
      <w:r>
        <w:rPr>
          <w:rFonts w:ascii="Arial" w:hAnsi="Arial" w:cs="Arial"/>
        </w:rPr>
        <w:t xml:space="preserve"> 28:2, pp. 221-239.</w:t>
      </w:r>
      <w:r w:rsidRPr="002B3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(Asymmetric information) </w:t>
      </w:r>
      <w:r w:rsidRPr="006C29EA">
        <w:rPr>
          <w:rFonts w:ascii="Arial" w:hAnsi="Arial" w:cs="Arial"/>
          <w:highlight w:val="green"/>
        </w:rPr>
        <w:t xml:space="preserve"> </w:t>
      </w:r>
      <w:r w:rsidRPr="003021C9">
        <w:rPr>
          <w:rFonts w:ascii="Arial" w:hAnsi="Arial" w:cs="Arial"/>
          <w:highlight w:val="green"/>
        </w:rPr>
        <w:t>OR</w:t>
      </w:r>
    </w:p>
    <w:p w:rsidR="0002051E" w:rsidRPr="006C29EA" w:rsidRDefault="0002051E" w:rsidP="006C29EA">
      <w:pPr>
        <w:pStyle w:val="Heading1"/>
        <w:spacing w:before="0" w:beforeAutospacing="0" w:after="120" w:afterAutospacing="0"/>
        <w:ind w:left="288" w:hanging="288"/>
        <w:rPr>
          <w:rFonts w:ascii="Arial" w:hAnsi="Arial" w:cs="Arial"/>
          <w:b w:val="0"/>
          <w:bCs w:val="0"/>
          <w:kern w:val="0"/>
          <w:sz w:val="24"/>
          <w:szCs w:val="24"/>
        </w:rPr>
      </w:pPr>
      <w:r w:rsidRPr="000B37BC">
        <w:rPr>
          <w:rFonts w:ascii="Arial" w:hAnsi="Arial" w:cs="Arial"/>
          <w:b w:val="0"/>
          <w:bCs w:val="0"/>
          <w:sz w:val="24"/>
          <w:szCs w:val="24"/>
        </w:rPr>
        <w:t xml:space="preserve">B. Bollinger, </w:t>
      </w:r>
      <w:r w:rsidRPr="000B37BC">
        <w:rPr>
          <w:rFonts w:ascii="Arial" w:hAnsi="Arial" w:cs="Arial"/>
          <w:b w:val="0"/>
          <w:iCs/>
          <w:sz w:val="24"/>
          <w:szCs w:val="24"/>
        </w:rPr>
        <w:t>P. Leslie and A. Sorensen (2011)</w:t>
      </w:r>
      <w:r w:rsidRPr="000B37BC">
        <w:rPr>
          <w:rFonts w:ascii="Arial" w:hAnsi="Arial" w:cs="Arial"/>
          <w:b w:val="0"/>
          <w:bCs w:val="0"/>
          <w:sz w:val="24"/>
          <w:szCs w:val="24"/>
        </w:rPr>
        <w:t xml:space="preserve"> “</w:t>
      </w:r>
      <w:r w:rsidRPr="000B37BC">
        <w:rPr>
          <w:rFonts w:ascii="Arial" w:hAnsi="Arial" w:cs="Arial"/>
          <w:b w:val="0"/>
          <w:sz w:val="24"/>
          <w:szCs w:val="24"/>
        </w:rPr>
        <w:t>Calorie Posting in Chain Restaurants</w:t>
      </w:r>
      <w:r w:rsidRPr="000B37BC">
        <w:rPr>
          <w:rFonts w:ascii="Arial" w:hAnsi="Arial" w:cs="Arial"/>
          <w:b w:val="0"/>
          <w:bCs w:val="0"/>
          <w:sz w:val="24"/>
          <w:szCs w:val="24"/>
        </w:rPr>
        <w:t>,”</w:t>
      </w:r>
      <w:r w:rsidRPr="000B37BC">
        <w:rPr>
          <w:rFonts w:ascii="Arial" w:hAnsi="Arial" w:cs="Arial"/>
          <w:b w:val="0"/>
          <w:sz w:val="24"/>
          <w:szCs w:val="24"/>
        </w:rPr>
        <w:t xml:space="preserve"> </w:t>
      </w:r>
      <w:r w:rsidRPr="000B37BC">
        <w:rPr>
          <w:rFonts w:ascii="Arial" w:hAnsi="Arial" w:cs="Arial"/>
          <w:b w:val="0"/>
          <w:i/>
          <w:sz w:val="24"/>
          <w:szCs w:val="24"/>
        </w:rPr>
        <w:t>American Economic Journal: Economic Policy</w:t>
      </w:r>
      <w:r w:rsidRPr="000B37BC">
        <w:rPr>
          <w:rFonts w:ascii="Arial" w:hAnsi="Arial" w:cs="Arial"/>
          <w:b w:val="0"/>
          <w:sz w:val="24"/>
          <w:szCs w:val="24"/>
        </w:rPr>
        <w:t>, 3(1): 91-128</w:t>
      </w:r>
      <w:r w:rsidRPr="000B37BC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. </w:t>
      </w:r>
      <w:r w:rsidRPr="000B37BC">
        <w:rPr>
          <w:rFonts w:ascii="Arial" w:hAnsi="Arial" w:cs="Arial"/>
          <w:b w:val="0"/>
          <w:sz w:val="24"/>
        </w:rPr>
        <w:t>(Asymmetric information)</w:t>
      </w:r>
      <w:r w:rsidRPr="006C29EA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</w:p>
    <w:p w:rsidR="0002051E" w:rsidRPr="00A536DD" w:rsidRDefault="0002051E" w:rsidP="00A536DD">
      <w:pPr>
        <w:spacing w:after="120"/>
        <w:ind w:left="288" w:hanging="288"/>
        <w:rPr>
          <w:rFonts w:ascii="Arial" w:hAnsi="Arial" w:cs="Arial"/>
          <w:sz w:val="22"/>
        </w:rPr>
      </w:pPr>
      <w:r w:rsidRPr="00A536DD">
        <w:rPr>
          <w:rFonts w:ascii="Arial" w:hAnsi="Arial" w:cs="Arial"/>
          <w:sz w:val="22"/>
        </w:rPr>
        <w:t xml:space="preserve">(Optional) I. Ellen and I. Voicu (2006). “Nonprofit housing and neighborhood spillovers.” </w:t>
      </w:r>
      <w:r w:rsidRPr="00A536DD">
        <w:rPr>
          <w:rFonts w:ascii="Arial" w:hAnsi="Arial" w:cs="Arial"/>
          <w:i/>
          <w:sz w:val="22"/>
        </w:rPr>
        <w:t>Journal of Policy Analysis and Management</w:t>
      </w:r>
      <w:r w:rsidRPr="00A536DD">
        <w:rPr>
          <w:rFonts w:ascii="Arial" w:hAnsi="Arial" w:cs="Arial"/>
          <w:sz w:val="22"/>
        </w:rPr>
        <w:t xml:space="preserve"> 25(1), pp. 31-52. </w:t>
      </w:r>
      <w:r w:rsidRPr="00A536DD">
        <w:rPr>
          <w:rFonts w:ascii="Arial" w:hAnsi="Arial" w:cs="Arial"/>
          <w:sz w:val="22"/>
          <w:szCs w:val="22"/>
        </w:rPr>
        <w:t>(Positive externalities)</w:t>
      </w:r>
    </w:p>
    <w:p w:rsidR="0002051E" w:rsidRPr="00A536DD" w:rsidRDefault="0002051E" w:rsidP="00A536DD">
      <w:pPr>
        <w:spacing w:after="120"/>
        <w:ind w:left="288" w:hanging="288"/>
        <w:rPr>
          <w:rFonts w:ascii="Arial" w:hAnsi="Arial" w:cs="Arial"/>
          <w:sz w:val="22"/>
        </w:rPr>
      </w:pPr>
      <w:r w:rsidRPr="00A536DD">
        <w:rPr>
          <w:rFonts w:ascii="Arial" w:hAnsi="Arial" w:cs="Arial"/>
          <w:sz w:val="22"/>
        </w:rPr>
        <w:t xml:space="preserve">(Optional)  S. Benartzi and R. Thaler (2007). “Heuristics and biases in retirement savings behavior,” </w:t>
      </w:r>
      <w:r w:rsidRPr="00A536DD">
        <w:rPr>
          <w:rFonts w:ascii="Arial" w:hAnsi="Arial" w:cs="Arial"/>
          <w:i/>
          <w:sz w:val="22"/>
        </w:rPr>
        <w:t>Journal of Economic Perspectives,</w:t>
      </w:r>
      <w:r w:rsidRPr="00A536DD">
        <w:rPr>
          <w:rFonts w:ascii="Arial" w:hAnsi="Arial" w:cs="Arial"/>
          <w:sz w:val="22"/>
        </w:rPr>
        <w:t xml:space="preserve"> 21(3), pp. 81-104. (Poor decision making) </w:t>
      </w:r>
    </w:p>
    <w:p w:rsidR="0002051E" w:rsidRDefault="0002051E" w:rsidP="00EB6888">
      <w:pPr>
        <w:rPr>
          <w:rFonts w:ascii="Arial" w:hAnsi="Arial" w:cs="Arial"/>
        </w:rPr>
      </w:pPr>
    </w:p>
    <w:p w:rsidR="0002051E" w:rsidRPr="00F81A00" w:rsidRDefault="0002051E" w:rsidP="00EB6888">
      <w:pPr>
        <w:rPr>
          <w:rFonts w:ascii="Arial" w:hAnsi="Arial" w:cs="Arial"/>
          <w:sz w:val="28"/>
        </w:rPr>
      </w:pPr>
      <w:r w:rsidRPr="00F81A00">
        <w:rPr>
          <w:rFonts w:ascii="Arial" w:hAnsi="Arial" w:cs="Arial"/>
          <w:b/>
          <w:sz w:val="28"/>
        </w:rPr>
        <w:t>Week Three (April 1</w:t>
      </w:r>
      <w:r>
        <w:rPr>
          <w:rFonts w:ascii="Arial" w:hAnsi="Arial" w:cs="Arial"/>
          <w:b/>
          <w:sz w:val="28"/>
        </w:rPr>
        <w:t>2</w:t>
      </w:r>
      <w:r w:rsidRPr="00F81A00">
        <w:rPr>
          <w:rFonts w:ascii="Arial" w:hAnsi="Arial" w:cs="Arial"/>
          <w:b/>
          <w:sz w:val="28"/>
        </w:rPr>
        <w:t>)</w:t>
      </w:r>
    </w:p>
    <w:p w:rsidR="0002051E" w:rsidRPr="00382A00" w:rsidRDefault="0002051E" w:rsidP="00944322">
      <w:pPr>
        <w:ind w:left="288"/>
        <w:rPr>
          <w:rFonts w:ascii="Arial" w:hAnsi="Arial" w:cs="Arial"/>
          <w:b/>
        </w:rPr>
      </w:pPr>
      <w:r w:rsidRPr="00382A00">
        <w:rPr>
          <w:rFonts w:ascii="Arial" w:hAnsi="Arial" w:cs="Arial"/>
        </w:rPr>
        <w:t xml:space="preserve">Distributional and other goals. </w:t>
      </w:r>
      <w:r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Government failures.</w:t>
      </w:r>
    </w:p>
    <w:p w:rsidR="0002051E" w:rsidRPr="00382A00" w:rsidRDefault="0002051E" w:rsidP="00776B16">
      <w:pPr>
        <w:rPr>
          <w:rFonts w:ascii="Arial" w:hAnsi="Arial" w:cs="Arial"/>
          <w:b/>
        </w:rPr>
      </w:pPr>
    </w:p>
    <w:p w:rsidR="0002051E" w:rsidRPr="00382A00" w:rsidRDefault="0002051E" w:rsidP="00EA7B60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>Readings:</w:t>
      </w:r>
    </w:p>
    <w:p w:rsidR="0002051E" w:rsidRPr="00382A00" w:rsidRDefault="0002051E" w:rsidP="00021E4D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>W &amp; V., ch</w:t>
      </w:r>
      <w:r>
        <w:rPr>
          <w:rFonts w:ascii="Arial" w:hAnsi="Arial" w:cs="Arial"/>
        </w:rPr>
        <w:t>ap</w:t>
      </w:r>
      <w:r w:rsidRPr="00382A00">
        <w:rPr>
          <w:rFonts w:ascii="Arial" w:hAnsi="Arial" w:cs="Arial"/>
        </w:rPr>
        <w:t>. 7</w:t>
      </w:r>
      <w:r>
        <w:rPr>
          <w:rFonts w:ascii="Arial" w:hAnsi="Arial" w:cs="Arial"/>
        </w:rPr>
        <w:t xml:space="preserve">, </w:t>
      </w:r>
      <w:r w:rsidRPr="00382A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and 9</w:t>
      </w:r>
      <w:r w:rsidRPr="00382A00">
        <w:rPr>
          <w:rFonts w:ascii="Arial" w:hAnsi="Arial" w:cs="Arial"/>
        </w:rPr>
        <w:t>.</w:t>
      </w:r>
    </w:p>
    <w:p w:rsidR="0002051E" w:rsidRPr="00BC4C7C" w:rsidRDefault="0002051E" w:rsidP="00A41D9A">
      <w:pPr>
        <w:spacing w:after="120"/>
        <w:ind w:left="288" w:hanging="288"/>
        <w:rPr>
          <w:rFonts w:ascii="Arial" w:hAnsi="Arial" w:cs="Arial"/>
        </w:rPr>
      </w:pPr>
      <w:r>
        <w:rPr>
          <w:noProof/>
        </w:rPr>
        <w:pict>
          <v:shape id="_x0000_s1029" type="#_x0000_t87" style="position:absolute;left:0;text-align:left;margin-left:-18.4pt;margin-top:5pt;width:7.15pt;height:52.65pt;z-index:251654656" strokeweight="1.5pt"/>
        </w:pict>
      </w:r>
      <w:r>
        <w:rPr>
          <w:rFonts w:ascii="Arial" w:hAnsi="Arial" w:cs="Arial"/>
        </w:rPr>
        <w:t xml:space="preserve">H. Hoynes, M. Page and A. Stevens (2006). “Poverty in America: Trends and explanations.” </w:t>
      </w:r>
      <w:r w:rsidRPr="00BC4C7C">
        <w:rPr>
          <w:rFonts w:ascii="Arial" w:hAnsi="Arial" w:cs="Arial"/>
          <w:i/>
        </w:rPr>
        <w:t>Journal of Economic Perspectives</w:t>
      </w:r>
      <w:r>
        <w:rPr>
          <w:rFonts w:ascii="Arial" w:hAnsi="Arial" w:cs="Arial"/>
        </w:rPr>
        <w:t xml:space="preserve"> 20:1, pp. 47-68. </w:t>
      </w:r>
      <w:r w:rsidRPr="003021C9">
        <w:rPr>
          <w:rFonts w:ascii="Arial" w:hAnsi="Arial" w:cs="Arial"/>
          <w:highlight w:val="green"/>
        </w:rPr>
        <w:t>OR</w:t>
      </w:r>
    </w:p>
    <w:p w:rsidR="0002051E" w:rsidRPr="00BC4C7C" w:rsidRDefault="0002051E" w:rsidP="00021E4D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T. Smeeding (2006). “Poor people in rich nations: The US in comparative perspective.” </w:t>
      </w:r>
      <w:r w:rsidRPr="00BC4C7C">
        <w:rPr>
          <w:rFonts w:ascii="Arial" w:hAnsi="Arial" w:cs="Arial"/>
          <w:i/>
        </w:rPr>
        <w:t>Journal of Economic Perspectives</w:t>
      </w:r>
      <w:r>
        <w:rPr>
          <w:rFonts w:ascii="Arial" w:hAnsi="Arial" w:cs="Arial"/>
        </w:rPr>
        <w:t xml:space="preserve"> 20:1, pp. 69-90</w:t>
      </w:r>
    </w:p>
    <w:p w:rsidR="0002051E" w:rsidRDefault="0002051E" w:rsidP="008612F6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Pr="0090689E">
        <w:rPr>
          <w:rFonts w:ascii="Arial" w:hAnsi="Arial" w:cs="Arial"/>
        </w:rPr>
        <w:t xml:space="preserve">Gottschalk and </w:t>
      </w:r>
      <w:r>
        <w:rPr>
          <w:rFonts w:ascii="Arial" w:hAnsi="Arial" w:cs="Arial"/>
        </w:rPr>
        <w:t xml:space="preserve">S. </w:t>
      </w:r>
      <w:r w:rsidRPr="0090689E">
        <w:rPr>
          <w:rFonts w:ascii="Arial" w:hAnsi="Arial" w:cs="Arial"/>
        </w:rPr>
        <w:t xml:space="preserve">Danziger. (2005) </w:t>
      </w:r>
      <w:r>
        <w:rPr>
          <w:rFonts w:ascii="Arial" w:hAnsi="Arial" w:cs="Arial"/>
        </w:rPr>
        <w:t>“</w:t>
      </w:r>
      <w:r w:rsidRPr="0090689E">
        <w:rPr>
          <w:rFonts w:ascii="Arial" w:hAnsi="Arial" w:cs="Arial"/>
        </w:rPr>
        <w:t>Inequality of wage rates, earnings and family income in the United States, 1975-2002</w:t>
      </w:r>
      <w:r>
        <w:rPr>
          <w:rFonts w:ascii="Arial" w:hAnsi="Arial" w:cs="Arial"/>
        </w:rPr>
        <w:t>,”</w:t>
      </w:r>
      <w:r w:rsidRPr="0090689E">
        <w:rPr>
          <w:rFonts w:ascii="Arial" w:hAnsi="Arial" w:cs="Arial"/>
        </w:rPr>
        <w:t xml:space="preserve"> </w:t>
      </w:r>
      <w:r w:rsidRPr="0090689E">
        <w:rPr>
          <w:rFonts w:ascii="Arial" w:hAnsi="Arial" w:cs="Arial"/>
          <w:i/>
        </w:rPr>
        <w:t>Review of Income and Wealth</w:t>
      </w:r>
      <w:r w:rsidRPr="00906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51(2), </w:t>
      </w:r>
      <w:r w:rsidRPr="0090689E">
        <w:rPr>
          <w:rFonts w:ascii="Arial" w:hAnsi="Arial" w:cs="Arial"/>
        </w:rPr>
        <w:t>pp. 231-254.</w:t>
      </w:r>
    </w:p>
    <w:p w:rsidR="0002051E" w:rsidRPr="0090689E" w:rsidRDefault="0002051E" w:rsidP="008612F6">
      <w:pPr>
        <w:spacing w:after="120"/>
        <w:ind w:left="288" w:hanging="288"/>
        <w:rPr>
          <w:rFonts w:ascii="Arial" w:hAnsi="Arial" w:cs="Arial"/>
        </w:rPr>
      </w:pPr>
      <w:r w:rsidRPr="00A0311D">
        <w:rPr>
          <w:rFonts w:ascii="Arial" w:hAnsi="Arial" w:cs="Arial"/>
          <w:sz w:val="28"/>
        </w:rPr>
        <w:t>*</w:t>
      </w:r>
      <w:r w:rsidRPr="00A0311D">
        <w:rPr>
          <w:rFonts w:ascii="Arial" w:hAnsi="Arial" w:cs="Arial"/>
        </w:rPr>
        <w:t>R. Burkhauser (2011). “Evaluating the questions that alternative policy success measures answer,”</w:t>
      </w:r>
      <w:r w:rsidRPr="00A0311D">
        <w:rPr>
          <w:rFonts w:ascii="Arial" w:hAnsi="Arial" w:cs="Arial"/>
          <w:i/>
        </w:rPr>
        <w:t xml:space="preserve"> Journal of Policy Analysis and Management</w:t>
      </w:r>
      <w:r w:rsidRPr="00A0311D">
        <w:rPr>
          <w:rFonts w:ascii="Arial" w:hAnsi="Arial" w:cs="Arial"/>
        </w:rPr>
        <w:t xml:space="preserve"> 30:2, pp. 205-215. (OK to skip the section on the minimum wage)</w:t>
      </w:r>
    </w:p>
    <w:p w:rsidR="0002051E" w:rsidRDefault="0002051E" w:rsidP="00E53313">
      <w:pPr>
        <w:pStyle w:val="BodyTextIndent2"/>
        <w:spacing w:after="120"/>
        <w:ind w:left="288" w:hanging="288"/>
        <w:rPr>
          <w:rFonts w:ascii="Arial" w:hAnsi="Arial" w:cs="Arial"/>
        </w:rPr>
      </w:pPr>
      <w:r>
        <w:rPr>
          <w:noProof/>
        </w:rPr>
        <w:pict>
          <v:shape id="_x0000_s1030" type="#_x0000_t87" style="position:absolute;left:0;text-align:left;margin-left:-11.25pt;margin-top:6.9pt;width:3.8pt;height:82.15pt;z-index:251657728" strokeweight="1.5pt"/>
        </w:pict>
      </w:r>
      <w:r>
        <w:rPr>
          <w:rFonts w:ascii="Arial" w:hAnsi="Arial" w:cs="Arial"/>
        </w:rPr>
        <w:t xml:space="preserve">G. Duncan et al. 1998 “How much does childhood poverty affect the life chances of children?” </w:t>
      </w:r>
      <w:r>
        <w:rPr>
          <w:rFonts w:ascii="Arial" w:hAnsi="Arial" w:cs="Arial"/>
          <w:i/>
          <w:iCs/>
        </w:rPr>
        <w:t>American Sociological Review</w:t>
      </w:r>
      <w:r>
        <w:rPr>
          <w:rFonts w:ascii="Arial" w:hAnsi="Arial" w:cs="Arial"/>
        </w:rPr>
        <w:t xml:space="preserve">, 63(June), pp. 406-423. </w:t>
      </w:r>
      <w:r w:rsidRPr="003021C9">
        <w:rPr>
          <w:rFonts w:ascii="Arial" w:hAnsi="Arial" w:cs="Arial"/>
          <w:highlight w:val="green"/>
        </w:rPr>
        <w:t>OR</w:t>
      </w:r>
    </w:p>
    <w:p w:rsidR="0002051E" w:rsidRPr="00A7210C" w:rsidRDefault="0002051E" w:rsidP="00A7210C">
      <w:pPr>
        <w:autoSpaceDE w:val="0"/>
        <w:autoSpaceDN w:val="0"/>
        <w:adjustRightInd w:val="0"/>
        <w:spacing w:after="120"/>
        <w:ind w:left="432" w:hanging="432"/>
        <w:rPr>
          <w:rFonts w:ascii="Arial" w:hAnsi="Arial" w:cs="Arial"/>
        </w:rPr>
      </w:pPr>
      <w:r w:rsidRPr="00A0311D">
        <w:rPr>
          <w:rFonts w:ascii="Arial" w:hAnsi="Arial" w:cs="Arial"/>
        </w:rPr>
        <w:t xml:space="preserve">R. Akee, W. Copeland, G. Keeler, A. Angold, and E. Costello (2010), “Parents’ Incomes and Children’s Outcomes: A Quasi-Experiment Using Transfer Payments from Casino Profits,” </w:t>
      </w:r>
      <w:r w:rsidRPr="00A0311D">
        <w:rPr>
          <w:rFonts w:ascii="Arial" w:hAnsi="Arial" w:cs="Arial"/>
          <w:i/>
        </w:rPr>
        <w:t>American Economic Journal: Applied Economics</w:t>
      </w:r>
      <w:r w:rsidRPr="00A0311D">
        <w:rPr>
          <w:rFonts w:ascii="Arial" w:hAnsi="Arial" w:cs="Arial"/>
          <w:i/>
          <w:iCs/>
        </w:rPr>
        <w:t xml:space="preserve"> 2:1, 86–115.</w:t>
      </w:r>
    </w:p>
    <w:p w:rsidR="0002051E" w:rsidRPr="006F76A5" w:rsidRDefault="0002051E" w:rsidP="00FB6C61">
      <w:pPr>
        <w:autoSpaceDE w:val="0"/>
        <w:autoSpaceDN w:val="0"/>
        <w:adjustRightInd w:val="0"/>
        <w:spacing w:after="120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S. </w:t>
      </w:r>
      <w:r w:rsidRPr="006F76A5">
        <w:rPr>
          <w:rFonts w:ascii="Arial" w:hAnsi="Arial" w:cs="Arial"/>
        </w:rPr>
        <w:t>Mayer &amp;</w:t>
      </w:r>
      <w:r>
        <w:rPr>
          <w:rFonts w:ascii="Arial" w:hAnsi="Arial" w:cs="Arial"/>
        </w:rPr>
        <w:t xml:space="preserve"> L. </w:t>
      </w:r>
      <w:r w:rsidRPr="006F76A5">
        <w:rPr>
          <w:rFonts w:ascii="Arial" w:hAnsi="Arial" w:cs="Arial"/>
        </w:rPr>
        <w:t xml:space="preserve">Lopoo. 2005. Has the intergenerational transmission of economic status changed? </w:t>
      </w:r>
      <w:r w:rsidRPr="00AB2DDD">
        <w:rPr>
          <w:rFonts w:ascii="Arial" w:hAnsi="Arial" w:cs="Arial"/>
          <w:i/>
        </w:rPr>
        <w:t>Journal of Human Resources</w:t>
      </w:r>
      <w:r w:rsidRPr="006F76A5">
        <w:rPr>
          <w:rFonts w:ascii="Arial" w:hAnsi="Arial" w:cs="Arial"/>
        </w:rPr>
        <w:t xml:space="preserve"> 40(1) pp. 169-185.</w:t>
      </w:r>
    </w:p>
    <w:p w:rsidR="0002051E" w:rsidRDefault="0002051E" w:rsidP="000E2E0B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</w:rPr>
        <w:t>T. Piketty and E. Saez (2007). “How progressive in the US federal tax system? A historical and international perspective.”</w:t>
      </w:r>
      <w:r w:rsidRPr="00BC4C7C">
        <w:rPr>
          <w:rFonts w:ascii="Arial" w:hAnsi="Arial" w:cs="Arial"/>
          <w:i/>
        </w:rPr>
        <w:t xml:space="preserve"> Journal of Economic Perspectives</w:t>
      </w:r>
      <w:r>
        <w:rPr>
          <w:rFonts w:ascii="Arial" w:hAnsi="Arial" w:cs="Arial"/>
        </w:rPr>
        <w:t xml:space="preserve"> 21:1, pp. 3-24.</w:t>
      </w:r>
    </w:p>
    <w:p w:rsidR="0002051E" w:rsidRDefault="0002051E" w:rsidP="00426F9A">
      <w:pPr>
        <w:autoSpaceDE w:val="0"/>
        <w:autoSpaceDN w:val="0"/>
        <w:adjustRightInd w:val="0"/>
        <w:spacing w:after="120"/>
        <w:ind w:left="432" w:hanging="432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>
        <w:rPr>
          <w:rFonts w:ascii="Arial" w:hAnsi="Arial" w:cs="Arial"/>
        </w:rPr>
        <w:t>D. Pager. 2008. “The dynamics of discrimination,”</w:t>
      </w:r>
      <w:r w:rsidRPr="00047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chapter 2 in </w:t>
      </w:r>
      <w:r w:rsidRPr="00872191">
        <w:rPr>
          <w:rFonts w:ascii="Arial" w:hAnsi="Arial" w:cs="Arial"/>
          <w:i/>
        </w:rPr>
        <w:t>The Colors of Poverty</w:t>
      </w:r>
      <w:r>
        <w:rPr>
          <w:rFonts w:ascii="Arial" w:hAnsi="Arial" w:cs="Arial"/>
        </w:rPr>
        <w:t xml:space="preserve">, (A. Lin and D. Harris, eds.) New York: Russell Sage Foundation. </w:t>
      </w:r>
    </w:p>
    <w:p w:rsidR="0002051E" w:rsidRDefault="0002051E" w:rsidP="000E2E0B">
      <w:pPr>
        <w:spacing w:after="24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M. Bertrand </w:t>
      </w:r>
      <w:r w:rsidRPr="006E5580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S. Mullainathan. 2004. </w:t>
      </w:r>
      <w:r>
        <w:rPr>
          <w:rFonts w:ascii="Arial" w:hAnsi="Arial" w:cs="Arial"/>
          <w:bCs/>
        </w:rPr>
        <w:t>“Are Emily and Greg More Employable than Lakisha and Jamal? A Field Experiment on Labor Market Discrimination,”</w:t>
      </w:r>
      <w:r>
        <w:rPr>
          <w:rFonts w:ascii="Arial" w:hAnsi="Arial" w:cs="Arial"/>
        </w:rPr>
        <w:t xml:space="preserve"> </w:t>
      </w:r>
      <w:r w:rsidRPr="000E2E0B">
        <w:rPr>
          <w:rFonts w:ascii="Arial" w:hAnsi="Arial" w:cs="Arial"/>
          <w:i/>
        </w:rPr>
        <w:t>American Economic Review</w:t>
      </w:r>
      <w:r>
        <w:rPr>
          <w:rFonts w:ascii="Arial" w:hAnsi="Arial" w:cs="Arial"/>
        </w:rPr>
        <w:t xml:space="preserve"> 94(4) pp. 991-1013.</w:t>
      </w:r>
    </w:p>
    <w:p w:rsidR="0002051E" w:rsidRPr="0013358F" w:rsidRDefault="0002051E" w:rsidP="0013358F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13358F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13358F">
        <w:rPr>
          <w:rFonts w:ascii="Arial" w:hAnsi="Arial" w:cs="Arial"/>
        </w:rPr>
        <w:t xml:space="preserve"> Okun , </w:t>
      </w:r>
      <w:r w:rsidRPr="0013358F">
        <w:rPr>
          <w:rFonts w:ascii="Arial" w:hAnsi="Arial" w:cs="Arial"/>
          <w:i/>
          <w:iCs/>
        </w:rPr>
        <w:t>Equality and efficiency: The big tradeoff</w:t>
      </w:r>
      <w:r w:rsidRPr="0013358F">
        <w:rPr>
          <w:rFonts w:ascii="Arial" w:hAnsi="Arial" w:cs="Arial"/>
        </w:rPr>
        <w:t>, Brookings Institution 1975, pp. 88-95.</w:t>
      </w:r>
    </w:p>
    <w:p w:rsidR="0002051E" w:rsidRPr="004616C1" w:rsidRDefault="0002051E" w:rsidP="004616C1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160B3B">
        <w:rPr>
          <w:rFonts w:ascii="Arial" w:hAnsi="Arial" w:cs="Arial"/>
          <w:bCs/>
          <w:color w:val="000000"/>
          <w:highlight w:val="yellow"/>
        </w:rPr>
        <w:t>C. Thomas</w:t>
      </w:r>
      <w:r w:rsidRPr="00A0311D">
        <w:rPr>
          <w:rFonts w:ascii="Arial" w:hAnsi="Arial" w:cs="Arial"/>
          <w:bCs/>
          <w:color w:val="000000"/>
        </w:rPr>
        <w:t xml:space="preserve">, A. Soule, and T. Davis (2010) “Special Interest Capture of Regulatory Agencies: A Ten-Year Analysis of Voting Behavior on Regional Fishery Management Councils,”  </w:t>
      </w:r>
      <w:r w:rsidRPr="00A0311D">
        <w:rPr>
          <w:rFonts w:ascii="Arial" w:hAnsi="Arial" w:cs="Arial"/>
          <w:i/>
          <w:iCs/>
        </w:rPr>
        <w:t xml:space="preserve">Policy Studies Journal, </w:t>
      </w:r>
      <w:r w:rsidRPr="00A0311D">
        <w:rPr>
          <w:rFonts w:ascii="Arial" w:hAnsi="Arial" w:cs="Arial"/>
          <w:iCs/>
        </w:rPr>
        <w:t>38(3)</w:t>
      </w:r>
      <w:r w:rsidRPr="00A0311D">
        <w:rPr>
          <w:rFonts w:ascii="Arial" w:hAnsi="Arial" w:cs="Arial"/>
          <w:i/>
          <w:iCs/>
        </w:rPr>
        <w:t xml:space="preserve"> </w:t>
      </w:r>
      <w:r w:rsidRPr="00B341DA">
        <w:rPr>
          <w:rFonts w:ascii="Arial" w:hAnsi="Arial" w:cs="Arial"/>
          <w:iCs/>
        </w:rPr>
        <w:t>pp. 447-464</w:t>
      </w:r>
      <w:r>
        <w:rPr>
          <w:rFonts w:ascii="Arial" w:hAnsi="Arial" w:cs="Arial"/>
          <w:iCs/>
        </w:rPr>
        <w:t>.</w:t>
      </w:r>
    </w:p>
    <w:p w:rsidR="0002051E" w:rsidRPr="00DD272F" w:rsidRDefault="0002051E" w:rsidP="00DD272F">
      <w:pPr>
        <w:spacing w:after="120"/>
        <w:ind w:left="288" w:hanging="288"/>
        <w:rPr>
          <w:rFonts w:ascii="Arial" w:hAnsi="Arial" w:cs="Arial"/>
        </w:rPr>
      </w:pPr>
      <w:r w:rsidRPr="00DD272F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DD272F">
        <w:rPr>
          <w:rFonts w:ascii="Arial" w:hAnsi="Arial" w:cs="Arial"/>
        </w:rPr>
        <w:t xml:space="preserve">Amirkhanyan, H. Kim and K. Lambright (2008). “Does the public sector outperform the nonprofit and for-profit sectors? Evidence from a national panel study on nursing home quality and access.” </w:t>
      </w:r>
      <w:r w:rsidRPr="00DD272F">
        <w:rPr>
          <w:rFonts w:ascii="Arial" w:hAnsi="Arial" w:cs="Arial"/>
          <w:i/>
        </w:rPr>
        <w:t>Journal of Policy Analysis and Management</w:t>
      </w:r>
      <w:r w:rsidRPr="00DD272F">
        <w:rPr>
          <w:rFonts w:ascii="Arial" w:hAnsi="Arial" w:cs="Arial"/>
        </w:rPr>
        <w:t xml:space="preserve"> 27:2, pp. 326-353.</w:t>
      </w:r>
    </w:p>
    <w:p w:rsidR="0002051E" w:rsidRPr="00382A00" w:rsidRDefault="0002051E" w:rsidP="00EB6888">
      <w:pPr>
        <w:rPr>
          <w:rFonts w:ascii="Arial" w:hAnsi="Arial" w:cs="Arial"/>
          <w:b/>
        </w:rPr>
      </w:pPr>
    </w:p>
    <w:p w:rsidR="0002051E" w:rsidRPr="00F81A00" w:rsidRDefault="0002051E" w:rsidP="00EB6888">
      <w:pPr>
        <w:rPr>
          <w:rFonts w:ascii="Arial" w:hAnsi="Arial" w:cs="Arial"/>
          <w:sz w:val="28"/>
        </w:rPr>
      </w:pPr>
      <w:r w:rsidRPr="00F81A00">
        <w:rPr>
          <w:rFonts w:ascii="Arial" w:hAnsi="Arial" w:cs="Arial"/>
          <w:b/>
          <w:sz w:val="28"/>
        </w:rPr>
        <w:t>Week</w:t>
      </w:r>
      <w:r>
        <w:rPr>
          <w:rFonts w:ascii="Arial" w:hAnsi="Arial" w:cs="Arial"/>
          <w:b/>
          <w:sz w:val="28"/>
        </w:rPr>
        <w:t>s</w:t>
      </w:r>
      <w:r w:rsidRPr="00F81A00">
        <w:rPr>
          <w:rFonts w:ascii="Arial" w:hAnsi="Arial" w:cs="Arial"/>
          <w:b/>
          <w:sz w:val="28"/>
        </w:rPr>
        <w:t xml:space="preserve"> Four and Five (April </w:t>
      </w:r>
      <w:r>
        <w:rPr>
          <w:rFonts w:ascii="Arial" w:hAnsi="Arial" w:cs="Arial"/>
          <w:b/>
          <w:sz w:val="28"/>
        </w:rPr>
        <w:t>19</w:t>
      </w:r>
      <w:r w:rsidRPr="00F81A00">
        <w:rPr>
          <w:rFonts w:ascii="Arial" w:hAnsi="Arial" w:cs="Arial"/>
          <w:b/>
          <w:sz w:val="28"/>
        </w:rPr>
        <w:t xml:space="preserve"> and 2</w:t>
      </w:r>
      <w:r>
        <w:rPr>
          <w:rFonts w:ascii="Arial" w:hAnsi="Arial" w:cs="Arial"/>
          <w:b/>
          <w:sz w:val="28"/>
        </w:rPr>
        <w:t>6</w:t>
      </w:r>
      <w:r w:rsidRPr="00F81A00">
        <w:rPr>
          <w:rFonts w:ascii="Arial" w:hAnsi="Arial" w:cs="Arial"/>
          <w:sz w:val="28"/>
        </w:rPr>
        <w:t xml:space="preserve">)  </w:t>
      </w:r>
    </w:p>
    <w:p w:rsidR="0002051E" w:rsidRPr="00382A00" w:rsidRDefault="0002051E" w:rsidP="00944322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82A00">
        <w:rPr>
          <w:rFonts w:ascii="Arial" w:hAnsi="Arial" w:cs="Arial"/>
        </w:rPr>
        <w:t xml:space="preserve">eneric policies </w:t>
      </w:r>
      <w:r>
        <w:rPr>
          <w:rFonts w:ascii="Arial" w:hAnsi="Arial" w:cs="Arial"/>
        </w:rPr>
        <w:t xml:space="preserve">for correcting market and </w:t>
      </w:r>
      <w:r w:rsidRPr="00382A00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>failures</w:t>
      </w:r>
    </w:p>
    <w:p w:rsidR="0002051E" w:rsidRPr="00382A00" w:rsidRDefault="0002051E" w:rsidP="0026237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Policy tools for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achieving policy objectives</w:t>
      </w:r>
    </w:p>
    <w:p w:rsidR="0002051E" w:rsidRPr="00382A00" w:rsidRDefault="0002051E" w:rsidP="00EB6888">
      <w:pPr>
        <w:rPr>
          <w:rFonts w:ascii="Arial" w:hAnsi="Arial" w:cs="Arial"/>
          <w:b/>
        </w:rPr>
      </w:pPr>
    </w:p>
    <w:p w:rsidR="0002051E" w:rsidRPr="00382A00" w:rsidRDefault="0002051E" w:rsidP="00EA7B60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>Readings:</w:t>
      </w:r>
    </w:p>
    <w:p w:rsidR="0002051E" w:rsidRPr="00382A00" w:rsidRDefault="0002051E" w:rsidP="00021E4D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>W &amp; V., ch</w:t>
      </w:r>
      <w:r>
        <w:rPr>
          <w:rFonts w:ascii="Arial" w:hAnsi="Arial" w:cs="Arial"/>
        </w:rPr>
        <w:t>ap</w:t>
      </w:r>
      <w:r w:rsidRPr="00382A00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and 13</w:t>
      </w:r>
    </w:p>
    <w:p w:rsidR="0002051E" w:rsidRPr="00F81738" w:rsidRDefault="0002051E" w:rsidP="0026237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F8173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F81738">
        <w:rPr>
          <w:rFonts w:ascii="Arial" w:hAnsi="Arial" w:cs="Arial"/>
        </w:rPr>
        <w:t xml:space="preserve"> Schneider </w:t>
      </w:r>
      <w:r>
        <w:rPr>
          <w:rFonts w:ascii="Arial" w:hAnsi="Arial" w:cs="Arial"/>
        </w:rPr>
        <w:t>and</w:t>
      </w:r>
      <w:r w:rsidRPr="00F81738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Pr="00F81738">
        <w:rPr>
          <w:rFonts w:ascii="Arial" w:hAnsi="Arial" w:cs="Arial"/>
        </w:rPr>
        <w:t xml:space="preserve"> Ingram, </w:t>
      </w:r>
      <w:r>
        <w:rPr>
          <w:rFonts w:ascii="Arial" w:hAnsi="Arial" w:cs="Arial"/>
        </w:rPr>
        <w:t xml:space="preserve">(1990). </w:t>
      </w:r>
      <w:r w:rsidRPr="00F81738">
        <w:rPr>
          <w:rFonts w:ascii="Arial" w:hAnsi="Arial" w:cs="Arial"/>
        </w:rPr>
        <w:t xml:space="preserve">“Behavioral assumptions of policy tools,” </w:t>
      </w:r>
      <w:r w:rsidRPr="007810CC">
        <w:rPr>
          <w:rFonts w:ascii="Arial" w:hAnsi="Arial" w:cs="Arial"/>
          <w:i/>
        </w:rPr>
        <w:t>Journal of Politics</w:t>
      </w:r>
      <w:r w:rsidRPr="00F81738">
        <w:rPr>
          <w:rFonts w:ascii="Arial" w:hAnsi="Arial" w:cs="Arial"/>
        </w:rPr>
        <w:t xml:space="preserve">, pp. 510-29 </w:t>
      </w:r>
    </w:p>
    <w:p w:rsidR="0002051E" w:rsidRPr="00382A00" w:rsidRDefault="0002051E" w:rsidP="0026237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 xml:space="preserve">L. Salamon, Ed. (2002). </w:t>
      </w:r>
      <w:r w:rsidRPr="00382A00">
        <w:rPr>
          <w:rFonts w:ascii="Arial" w:hAnsi="Arial" w:cs="Arial"/>
          <w:i/>
        </w:rPr>
        <w:t>The Tools of Government: A Guide to the New Governance</w:t>
      </w:r>
      <w:r w:rsidRPr="00382A00">
        <w:rPr>
          <w:rFonts w:ascii="Arial" w:hAnsi="Arial" w:cs="Arial"/>
        </w:rPr>
        <w:t>. New York: Oxford University Press.  Ch</w:t>
      </w:r>
      <w:r>
        <w:rPr>
          <w:rFonts w:ascii="Arial" w:hAnsi="Arial" w:cs="Arial"/>
        </w:rPr>
        <w:t xml:space="preserve">ap 1. </w:t>
      </w:r>
      <w:r w:rsidRPr="00010068">
        <w:rPr>
          <w:rFonts w:ascii="Arial" w:hAnsi="Arial" w:cs="Arial"/>
          <w:u w:val="single"/>
        </w:rPr>
        <w:t>On reserve</w:t>
      </w:r>
    </w:p>
    <w:p w:rsidR="0002051E" w:rsidRDefault="0002051E" w:rsidP="007810CC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From the listing below, each s</w:t>
      </w:r>
      <w:r w:rsidRPr="00382A00">
        <w:rPr>
          <w:rFonts w:ascii="Arial" w:hAnsi="Arial" w:cs="Arial"/>
        </w:rPr>
        <w:t>tudent choose</w:t>
      </w:r>
      <w:r>
        <w:rPr>
          <w:rFonts w:ascii="Arial" w:hAnsi="Arial" w:cs="Arial"/>
        </w:rPr>
        <w:t>s</w:t>
      </w:r>
      <w:r w:rsidRPr="00382A00">
        <w:rPr>
          <w:rFonts w:ascii="Arial" w:hAnsi="Arial" w:cs="Arial"/>
        </w:rPr>
        <w:t xml:space="preserve"> one </w:t>
      </w:r>
      <w:r>
        <w:rPr>
          <w:rFonts w:ascii="Arial" w:hAnsi="Arial" w:cs="Arial"/>
        </w:rPr>
        <w:t xml:space="preserve">tool </w:t>
      </w:r>
      <w:r w:rsidRPr="00382A00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from Salamon (2002) </w:t>
      </w:r>
      <w:r w:rsidRPr="00382A00">
        <w:rPr>
          <w:rFonts w:ascii="Arial" w:hAnsi="Arial" w:cs="Arial"/>
        </w:rPr>
        <w:t xml:space="preserve">and a “matching” article </w:t>
      </w:r>
      <w:r>
        <w:rPr>
          <w:rFonts w:ascii="Arial" w:hAnsi="Arial" w:cs="Arial"/>
        </w:rPr>
        <w:t>(or 2 if desired) that</w:t>
      </w:r>
      <w:r w:rsidRPr="00382A00">
        <w:rPr>
          <w:rFonts w:ascii="Arial" w:hAnsi="Arial" w:cs="Arial"/>
        </w:rPr>
        <w:t xml:space="preserve"> illustrat</w:t>
      </w:r>
      <w:r>
        <w:rPr>
          <w:rFonts w:ascii="Arial" w:hAnsi="Arial" w:cs="Arial"/>
        </w:rPr>
        <w:t>es empirical work on that tool.  You are welcome to suggest an appropriate article that is not on this list, but check with me first.  The student will lead a discussion of the chapter and article(s).</w:t>
      </w:r>
    </w:p>
    <w:p w:rsidR="0002051E" w:rsidRDefault="0002051E" w:rsidP="00324DF4">
      <w:pPr>
        <w:rPr>
          <w:rFonts w:ascii="Arial" w:hAnsi="Arial" w:cs="Arial"/>
        </w:rPr>
      </w:pPr>
    </w:p>
    <w:p w:rsidR="0002051E" w:rsidRDefault="0002051E" w:rsidP="00324DF4">
      <w:pPr>
        <w:rPr>
          <w:rFonts w:ascii="Arial" w:hAnsi="Arial" w:cs="Arial"/>
        </w:rPr>
      </w:pPr>
      <w:r w:rsidRPr="003021C9">
        <w:rPr>
          <w:rFonts w:ascii="Arial" w:hAnsi="Arial" w:cs="Arial"/>
          <w:highlight w:val="green"/>
        </w:rPr>
        <w:t>Chapters and articles to read will depend on student choices.</w:t>
      </w:r>
    </w:p>
    <w:p w:rsidR="0002051E" w:rsidRPr="00382A00" w:rsidRDefault="0002051E" w:rsidP="00324DF4">
      <w:pPr>
        <w:rPr>
          <w:rFonts w:ascii="Arial" w:hAnsi="Arial" w:cs="Arial"/>
        </w:rPr>
      </w:pPr>
    </w:p>
    <w:p w:rsidR="0002051E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2A00">
        <w:rPr>
          <w:rFonts w:ascii="Arial" w:hAnsi="Arial" w:cs="Arial"/>
        </w:rPr>
        <w:t>h</w:t>
      </w:r>
      <w:r>
        <w:rPr>
          <w:rFonts w:ascii="Arial" w:hAnsi="Arial" w:cs="Arial"/>
        </w:rPr>
        <w:t>ap.</w:t>
      </w:r>
      <w:r w:rsidRPr="00382A00">
        <w:rPr>
          <w:rFonts w:ascii="Arial" w:hAnsi="Arial" w:cs="Arial"/>
        </w:rPr>
        <w:t xml:space="preserve"> 5, Social regulation, by Peter May</w:t>
      </w:r>
      <w:r>
        <w:rPr>
          <w:rFonts w:ascii="Arial" w:hAnsi="Arial" w:cs="Arial"/>
        </w:rPr>
        <w:t xml:space="preserve"> </w:t>
      </w:r>
    </w:p>
    <w:p w:rsidR="0002051E" w:rsidRPr="00382A00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2A00">
        <w:rPr>
          <w:rFonts w:ascii="Arial" w:hAnsi="Arial" w:cs="Arial"/>
        </w:rPr>
        <w:t>h</w:t>
      </w:r>
      <w:r>
        <w:rPr>
          <w:rFonts w:ascii="Arial" w:hAnsi="Arial" w:cs="Arial"/>
        </w:rPr>
        <w:t>ap.</w:t>
      </w:r>
      <w:r w:rsidRPr="00382A00">
        <w:rPr>
          <w:rFonts w:ascii="Arial" w:hAnsi="Arial" w:cs="Arial"/>
        </w:rPr>
        <w:t xml:space="preserve"> 7, Public information, by Janet Weiss</w:t>
      </w:r>
    </w:p>
    <w:p w:rsidR="0002051E" w:rsidRPr="00382A00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>
        <w:rPr>
          <w:rFonts w:ascii="Arial" w:hAnsi="Arial" w:cs="Arial"/>
        </w:rPr>
        <w:t>chap.</w:t>
      </w:r>
      <w:r w:rsidRPr="00382A00">
        <w:rPr>
          <w:rFonts w:ascii="Arial" w:hAnsi="Arial" w:cs="Arial"/>
        </w:rPr>
        <w:t xml:space="preserve"> 8, Corrective taxes and tradable permits, by Joseph Cordes</w:t>
      </w:r>
    </w:p>
    <w:p w:rsidR="0002051E" w:rsidRPr="00382A00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>
        <w:rPr>
          <w:rFonts w:ascii="Arial" w:hAnsi="Arial" w:cs="Arial"/>
        </w:rPr>
        <w:t>chap.</w:t>
      </w:r>
      <w:r w:rsidRPr="00382A00">
        <w:rPr>
          <w:rFonts w:ascii="Arial" w:hAnsi="Arial" w:cs="Arial"/>
        </w:rPr>
        <w:t xml:space="preserve"> 10, Purchase of service contracting, by R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DeHoog &amp; L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Salamon</w:t>
      </w:r>
    </w:p>
    <w:p w:rsidR="0002051E" w:rsidRPr="00382A00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 w:rsidRPr="00382A00">
        <w:rPr>
          <w:rFonts w:ascii="Arial" w:hAnsi="Arial" w:cs="Arial"/>
        </w:rPr>
        <w:t>ch</w:t>
      </w:r>
      <w:r>
        <w:rPr>
          <w:rFonts w:ascii="Arial" w:hAnsi="Arial" w:cs="Arial"/>
        </w:rPr>
        <w:t>ap.</w:t>
      </w:r>
      <w:r w:rsidRPr="00382A00">
        <w:rPr>
          <w:rFonts w:ascii="Arial" w:hAnsi="Arial" w:cs="Arial"/>
        </w:rPr>
        <w:t xml:space="preserve"> 13, Tax expenditures, by Christopher Howard</w:t>
      </w:r>
    </w:p>
    <w:p w:rsidR="0002051E" w:rsidRPr="00382A00" w:rsidRDefault="0002051E" w:rsidP="008612F6">
      <w:pPr>
        <w:numPr>
          <w:ilvl w:val="0"/>
          <w:numId w:val="1"/>
        </w:numPr>
        <w:ind w:left="936"/>
        <w:rPr>
          <w:rFonts w:ascii="Arial" w:hAnsi="Arial" w:cs="Arial"/>
        </w:rPr>
      </w:pPr>
      <w:r w:rsidRPr="00382A00">
        <w:rPr>
          <w:rFonts w:ascii="Arial" w:hAnsi="Arial" w:cs="Arial"/>
        </w:rPr>
        <w:t>ch</w:t>
      </w:r>
      <w:r>
        <w:rPr>
          <w:rFonts w:ascii="Arial" w:hAnsi="Arial" w:cs="Arial"/>
        </w:rPr>
        <w:t>ap.</w:t>
      </w:r>
      <w:r w:rsidRPr="00382A00">
        <w:rPr>
          <w:rFonts w:ascii="Arial" w:hAnsi="Arial" w:cs="Arial"/>
        </w:rPr>
        <w:t xml:space="preserve"> 14, Vouchers, by Eugene Steuerle &amp; Eric Twombly</w:t>
      </w:r>
    </w:p>
    <w:p w:rsidR="0002051E" w:rsidRPr="00382A00" w:rsidRDefault="0002051E" w:rsidP="00324DF4">
      <w:pPr>
        <w:rPr>
          <w:rFonts w:ascii="Arial" w:hAnsi="Arial" w:cs="Arial"/>
          <w:b/>
        </w:rPr>
      </w:pPr>
    </w:p>
    <w:p w:rsidR="0002051E" w:rsidRDefault="0002051E" w:rsidP="00324DF4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L. Bennear 2007. “Are management-based regulations effective? Evidence from state pollution prevention programs,”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382A00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382A0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327-348</w:t>
      </w:r>
      <w:r w:rsidRPr="00382A00">
        <w:rPr>
          <w:rFonts w:ascii="Arial" w:hAnsi="Arial" w:cs="Arial"/>
        </w:rPr>
        <w:t>. (Social regulation)</w:t>
      </w:r>
    </w:p>
    <w:p w:rsidR="0002051E" w:rsidRDefault="0002051E" w:rsidP="00AC46C7">
      <w:pPr>
        <w:pStyle w:val="BodyTextIndent2"/>
        <w:autoSpaceDE w:val="0"/>
        <w:autoSpaceDN w:val="0"/>
        <w:adjustRightInd w:val="0"/>
        <w:spacing w:after="120"/>
        <w:ind w:left="432" w:hanging="432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L. Lopoo and T. DeLeire, 2006. “Did welfare reform influence the fertility of young teens?” </w:t>
      </w:r>
      <w:r w:rsidRPr="008B77EC">
        <w:rPr>
          <w:rStyle w:val="italic1"/>
          <w:rFonts w:ascii="Arial" w:hAnsi="Arial" w:cs="Arial"/>
          <w:color w:val="000000"/>
          <w:szCs w:val="19"/>
        </w:rPr>
        <w:t>Journal of Policy Analysis and Management</w:t>
      </w:r>
      <w:r>
        <w:rPr>
          <w:rStyle w:val="italic1"/>
          <w:rFonts w:ascii="Arial" w:hAnsi="Arial" w:cs="Arial"/>
          <w:i w:val="0"/>
          <w:iCs w:val="0"/>
          <w:color w:val="000000"/>
          <w:szCs w:val="19"/>
        </w:rPr>
        <w:t xml:space="preserve"> 25(2) pp. 275-298.</w:t>
      </w:r>
      <w:r>
        <w:rPr>
          <w:rFonts w:ascii="Arial" w:hAnsi="Arial" w:cs="Arial"/>
          <w:b/>
          <w:bCs/>
          <w:color w:val="292526"/>
          <w:szCs w:val="16"/>
        </w:rPr>
        <w:t xml:space="preserve"> </w:t>
      </w:r>
      <w:r w:rsidRPr="00382A00">
        <w:rPr>
          <w:rFonts w:ascii="Arial" w:hAnsi="Arial" w:cs="Arial"/>
        </w:rPr>
        <w:t>(Social regulation)</w:t>
      </w:r>
    </w:p>
    <w:p w:rsidR="0002051E" w:rsidRPr="00AC46C7" w:rsidRDefault="0002051E" w:rsidP="00AC46C7">
      <w:pPr>
        <w:autoSpaceDE w:val="0"/>
        <w:autoSpaceDN w:val="0"/>
        <w:adjustRightInd w:val="0"/>
        <w:spacing w:after="120"/>
        <w:ind w:left="432" w:hanging="432"/>
        <w:rPr>
          <w:rFonts w:ascii="Arial" w:hAnsi="Arial" w:cs="Arial"/>
        </w:rPr>
      </w:pPr>
      <w:r w:rsidRPr="00160B3B">
        <w:rPr>
          <w:rFonts w:ascii="Arial" w:hAnsi="Arial" w:cs="Arial"/>
          <w:highlight w:val="yellow"/>
        </w:rPr>
        <w:t>P. May</w:t>
      </w:r>
      <w:r w:rsidRPr="00AC46C7">
        <w:rPr>
          <w:rFonts w:ascii="Arial" w:hAnsi="Arial" w:cs="Arial"/>
        </w:rPr>
        <w:t xml:space="preserve"> and S. Winter (1999). “Regulatory Enforcement and Compliance: Examining Danish Agro-Environmental Policy.” </w:t>
      </w:r>
      <w:r w:rsidRPr="00AC46C7">
        <w:rPr>
          <w:rFonts w:ascii="Arial" w:hAnsi="Arial" w:cs="Arial"/>
          <w:i/>
        </w:rPr>
        <w:t>Journal of Policy Analysis and Management</w:t>
      </w:r>
      <w:r w:rsidRPr="00AC46C7">
        <w:rPr>
          <w:rFonts w:ascii="Arial" w:hAnsi="Arial" w:cs="Arial"/>
        </w:rPr>
        <w:t xml:space="preserve"> 18(4), 625-651. (Social regulation)</w:t>
      </w:r>
    </w:p>
    <w:p w:rsidR="0002051E" w:rsidRPr="00DD1095" w:rsidRDefault="0002051E" w:rsidP="00324DF4">
      <w:pPr>
        <w:spacing w:after="120"/>
        <w:ind w:left="288" w:hanging="288"/>
        <w:rPr>
          <w:rFonts w:ascii="Arial" w:hAnsi="Arial" w:cs="Arial"/>
          <w:color w:val="000000"/>
          <w:szCs w:val="18"/>
        </w:rPr>
      </w:pPr>
      <w:r w:rsidRPr="00A0311D">
        <w:rPr>
          <w:rFonts w:ascii="Arial" w:hAnsi="Arial" w:cs="Arial"/>
          <w:color w:val="000000"/>
          <w:szCs w:val="18"/>
        </w:rPr>
        <w:t xml:space="preserve">A. Prakash &amp; </w:t>
      </w:r>
      <w:r w:rsidRPr="001712AB">
        <w:rPr>
          <w:rFonts w:ascii="Arial" w:hAnsi="Arial" w:cs="Arial"/>
          <w:color w:val="000000"/>
          <w:szCs w:val="18"/>
          <w:highlight w:val="yellow"/>
        </w:rPr>
        <w:t>M. Gugerty</w:t>
      </w:r>
      <w:r w:rsidRPr="00A0311D">
        <w:rPr>
          <w:rFonts w:ascii="Arial" w:hAnsi="Arial" w:cs="Arial"/>
          <w:color w:val="000000"/>
          <w:szCs w:val="18"/>
        </w:rPr>
        <w:t xml:space="preserve"> (2010) “Trust but verify? Voluntary regulation programs in the nonprofit sector,” </w:t>
      </w:r>
      <w:r w:rsidRPr="00A0311D">
        <w:rPr>
          <w:rFonts w:ascii="Arial" w:hAnsi="Arial" w:cs="Arial"/>
          <w:i/>
          <w:color w:val="000000"/>
          <w:szCs w:val="18"/>
        </w:rPr>
        <w:t>Regulation and Governance</w:t>
      </w:r>
      <w:r w:rsidRPr="00A0311D">
        <w:rPr>
          <w:rFonts w:ascii="Arial" w:hAnsi="Arial" w:cs="Arial"/>
          <w:color w:val="000000"/>
          <w:szCs w:val="18"/>
        </w:rPr>
        <w:t>, 4(1): 22–47. (Social regulation)</w:t>
      </w:r>
    </w:p>
    <w:p w:rsidR="0002051E" w:rsidRPr="00423EF9" w:rsidRDefault="0002051E" w:rsidP="001712AB">
      <w:pPr>
        <w:pStyle w:val="Heading1"/>
        <w:spacing w:before="0" w:beforeAutospacing="0" w:after="120" w:afterAutospacing="0"/>
        <w:ind w:left="288" w:hanging="288"/>
        <w:rPr>
          <w:rFonts w:ascii="Arial" w:hAnsi="Arial" w:cs="Arial"/>
          <w:color w:val="000000"/>
          <w:sz w:val="24"/>
          <w:szCs w:val="24"/>
        </w:rPr>
      </w:pPr>
      <w:r w:rsidRPr="001712AB">
        <w:rPr>
          <w:rFonts w:ascii="Arial" w:hAnsi="Arial" w:cs="Arial"/>
          <w:b w:val="0"/>
          <w:color w:val="000000"/>
          <w:sz w:val="24"/>
          <w:szCs w:val="24"/>
          <w:highlight w:val="yellow"/>
        </w:rPr>
        <w:t>M. Klawitter (2011).</w:t>
      </w:r>
      <w:r w:rsidRPr="001712AB">
        <w:rPr>
          <w:rFonts w:ascii="Arial" w:hAnsi="Arial" w:cs="Arial"/>
          <w:b w:val="0"/>
          <w:color w:val="000000"/>
          <w:sz w:val="24"/>
          <w:szCs w:val="24"/>
        </w:rPr>
        <w:t xml:space="preserve"> “Multilevel analysis of the effects of antidiscrimination policies on earnings by sexual orientation,”</w:t>
      </w:r>
      <w:r w:rsidRPr="001712AB">
        <w:rPr>
          <w:rFonts w:ascii="Arial" w:hAnsi="Arial" w:cs="Arial"/>
          <w:b w:val="0"/>
          <w:i/>
          <w:sz w:val="24"/>
          <w:szCs w:val="24"/>
        </w:rPr>
        <w:t xml:space="preserve"> Journal of Policy Analysis and Management 30</w:t>
      </w:r>
      <w:r w:rsidRPr="001712AB">
        <w:rPr>
          <w:rFonts w:ascii="Arial" w:hAnsi="Arial" w:cs="Arial"/>
          <w:b w:val="0"/>
          <w:sz w:val="24"/>
          <w:szCs w:val="24"/>
        </w:rPr>
        <w:t>(2) pp. 334-358.  (Social regulation)</w:t>
      </w:r>
    </w:p>
    <w:p w:rsidR="0002051E" w:rsidRPr="00382A00" w:rsidRDefault="0002051E" w:rsidP="00324DF4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Weil</w:t>
      </w:r>
      <w:r w:rsidRPr="003A4A36">
        <w:rPr>
          <w:rFonts w:ascii="Arial" w:hAnsi="Arial" w:cs="Arial"/>
          <w:i/>
        </w:rPr>
        <w:t xml:space="preserve">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Fung, et al. (2006). “The Effectiveness of Regulatory Disclosure Policies.”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25(1), 155-181. (</w:t>
      </w:r>
      <w:r>
        <w:rPr>
          <w:rFonts w:ascii="Arial" w:hAnsi="Arial" w:cs="Arial"/>
        </w:rPr>
        <w:t>R</w:t>
      </w:r>
      <w:r w:rsidRPr="00382A00">
        <w:rPr>
          <w:rFonts w:ascii="Arial" w:hAnsi="Arial" w:cs="Arial"/>
        </w:rPr>
        <w:t>egulation</w:t>
      </w:r>
      <w:r>
        <w:rPr>
          <w:rFonts w:ascii="Arial" w:hAnsi="Arial" w:cs="Arial"/>
        </w:rPr>
        <w:t xml:space="preserve"> for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82A00">
        <w:rPr>
          <w:rFonts w:ascii="Arial" w:hAnsi="Arial" w:cs="Arial"/>
        </w:rPr>
        <w:t>nformation asymmetry)</w:t>
      </w:r>
    </w:p>
    <w:p w:rsidR="0002051E" w:rsidRPr="00D47C89" w:rsidRDefault="0002051E" w:rsidP="00D47C89">
      <w:pPr>
        <w:spacing w:after="120"/>
        <w:ind w:left="288" w:hanging="288"/>
        <w:rPr>
          <w:rFonts w:ascii="Arial" w:hAnsi="Arial" w:cs="Arial"/>
        </w:rPr>
      </w:pPr>
      <w:r w:rsidRPr="00D47C89">
        <w:rPr>
          <w:rFonts w:ascii="Arial" w:hAnsi="Arial" w:cs="Arial"/>
        </w:rPr>
        <w:t xml:space="preserve">R. Burkhauser &amp; J. Sabia. 2007. “The effectiveness of minimum wage increases in reducing poverty: Past, present and future,” </w:t>
      </w:r>
      <w:r w:rsidRPr="00D47C89">
        <w:rPr>
          <w:rFonts w:ascii="Arial" w:hAnsi="Arial" w:cs="Arial"/>
          <w:i/>
        </w:rPr>
        <w:t>Contemporary Economic Policy</w:t>
      </w:r>
      <w:r w:rsidRPr="00D47C89">
        <w:rPr>
          <w:rFonts w:ascii="Arial" w:hAnsi="Arial" w:cs="Arial"/>
        </w:rPr>
        <w:t xml:space="preserve"> 25 (2), pp. 262–281 (Price regulation)</w:t>
      </w:r>
    </w:p>
    <w:p w:rsidR="0002051E" w:rsidRDefault="0002051E" w:rsidP="00324DF4">
      <w:pPr>
        <w:spacing w:after="120"/>
        <w:ind w:left="288" w:hanging="288"/>
        <w:rPr>
          <w:rFonts w:ascii="Arial" w:hAnsi="Arial" w:cs="Arial"/>
        </w:rPr>
      </w:pPr>
      <w:r w:rsidRPr="00A0311D">
        <w:rPr>
          <w:rFonts w:ascii="Arial" w:hAnsi="Arial" w:cs="Arial"/>
        </w:rPr>
        <w:t>G. Bel, X. Fegada and M. Warner (2010). “Is private production of public services cheaper than public production? A meta-regression analysis of solid waste and water services,”</w:t>
      </w:r>
      <w:r w:rsidRPr="00A0311D">
        <w:rPr>
          <w:rFonts w:ascii="Arial" w:hAnsi="Arial" w:cs="Arial"/>
          <w:i/>
        </w:rPr>
        <w:t xml:space="preserve"> Journal of Policy Analysis and Management</w:t>
      </w:r>
      <w:r w:rsidRPr="00A0311D">
        <w:rPr>
          <w:rFonts w:ascii="Arial" w:hAnsi="Arial" w:cs="Arial"/>
        </w:rPr>
        <w:t xml:space="preserve"> 29(3), pp 553-577. (Privatization)</w:t>
      </w:r>
    </w:p>
    <w:p w:rsidR="0002051E" w:rsidRPr="00382A00" w:rsidRDefault="0002051E" w:rsidP="00324DF4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S. Anderson and R. Newell (2004).  “Information Programs for Technology Adoption: The Case of Energy-Efficiency Audits.” </w:t>
      </w:r>
      <w:r w:rsidRPr="00382A00">
        <w:rPr>
          <w:rFonts w:ascii="Arial" w:hAnsi="Arial" w:cs="Arial"/>
          <w:i/>
        </w:rPr>
        <w:t>Resource and Energy Economics</w:t>
      </w:r>
      <w:r w:rsidRPr="00382A00">
        <w:rPr>
          <w:rFonts w:ascii="Arial" w:hAnsi="Arial" w:cs="Arial"/>
        </w:rPr>
        <w:t xml:space="preserve"> 26(1), 27-50. (Information provision)</w:t>
      </w:r>
    </w:p>
    <w:p w:rsidR="0002051E" w:rsidRDefault="0002051E" w:rsidP="00324DF4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H. Bae, P. Wilcoxen and D. Popp (2010). “Information disclosure policy: Do state data processing efforts help more than the information disclosure itself?”</w:t>
      </w:r>
      <w:r w:rsidRPr="002E4772">
        <w:rPr>
          <w:rFonts w:ascii="Arial" w:hAnsi="Arial" w:cs="Arial"/>
          <w:i/>
        </w:rPr>
        <w:t xml:space="preserve">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82A00">
        <w:rPr>
          <w:rFonts w:ascii="Arial" w:hAnsi="Arial" w:cs="Arial"/>
        </w:rPr>
        <w:t>9</w:t>
      </w:r>
      <w:r>
        <w:rPr>
          <w:rFonts w:ascii="Arial" w:hAnsi="Arial" w:cs="Arial"/>
        </w:rPr>
        <w:t>(1)</w:t>
      </w:r>
      <w:r w:rsidRPr="00382A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pp. </w:t>
      </w:r>
      <w:r w:rsidRPr="00382A00">
        <w:rPr>
          <w:rFonts w:ascii="Arial" w:hAnsi="Arial" w:cs="Arial"/>
        </w:rPr>
        <w:t>1</w:t>
      </w:r>
      <w:r>
        <w:rPr>
          <w:rFonts w:ascii="Arial" w:hAnsi="Arial" w:cs="Arial"/>
        </w:rPr>
        <w:t>63-182</w:t>
      </w:r>
      <w:r w:rsidRPr="00382A00">
        <w:rPr>
          <w:rFonts w:ascii="Arial" w:hAnsi="Arial" w:cs="Arial"/>
        </w:rPr>
        <w:t>. (Information</w:t>
      </w:r>
      <w:r w:rsidRPr="00001D33"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provision</w:t>
      </w:r>
      <w:r>
        <w:rPr>
          <w:rFonts w:ascii="Arial" w:hAnsi="Arial" w:cs="Arial"/>
        </w:rPr>
        <w:t>)</w:t>
      </w:r>
    </w:p>
    <w:p w:rsidR="0002051E" w:rsidRPr="00CA70E2" w:rsidRDefault="0002051E" w:rsidP="00830DC7">
      <w:pPr>
        <w:spacing w:after="120"/>
        <w:ind w:left="288" w:hanging="288"/>
        <w:rPr>
          <w:rFonts w:ascii="Arial" w:hAnsi="Arial" w:cs="Arial"/>
        </w:rPr>
      </w:pPr>
      <w:r w:rsidRPr="00CA70E2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CA70E2">
        <w:rPr>
          <w:rFonts w:ascii="Arial" w:hAnsi="Arial" w:cs="Arial"/>
        </w:rPr>
        <w:t xml:space="preserve"> Ladd &amp; R</w:t>
      </w:r>
      <w:r>
        <w:rPr>
          <w:rFonts w:ascii="Arial" w:hAnsi="Arial" w:cs="Arial"/>
        </w:rPr>
        <w:t>.</w:t>
      </w:r>
      <w:r w:rsidRPr="00CA70E2">
        <w:rPr>
          <w:rFonts w:ascii="Arial" w:hAnsi="Arial" w:cs="Arial"/>
        </w:rPr>
        <w:t xml:space="preserve"> Walsh, </w:t>
      </w:r>
      <w:r>
        <w:rPr>
          <w:rFonts w:ascii="Arial" w:hAnsi="Arial" w:cs="Arial"/>
        </w:rPr>
        <w:t xml:space="preserve">2002. </w:t>
      </w:r>
      <w:r w:rsidRPr="00CA70E2">
        <w:rPr>
          <w:rFonts w:ascii="Arial" w:hAnsi="Arial" w:cs="Arial"/>
        </w:rPr>
        <w:t xml:space="preserve">“Implementing value-added measures of school effectiveness: Getting the incentives right,” </w:t>
      </w:r>
      <w:r w:rsidRPr="00CA70E2">
        <w:rPr>
          <w:rFonts w:ascii="Arial" w:hAnsi="Arial" w:cs="Arial"/>
          <w:i/>
          <w:iCs/>
        </w:rPr>
        <w:t>Economics of Education Review</w:t>
      </w:r>
      <w:r w:rsidRPr="00CA70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21(1)</w:t>
      </w:r>
      <w:r w:rsidRPr="00CA70E2">
        <w:rPr>
          <w:rFonts w:ascii="Arial" w:hAnsi="Arial" w:cs="Arial"/>
        </w:rPr>
        <w:t>, pp. 1-17.(Information provision)</w:t>
      </w:r>
    </w:p>
    <w:p w:rsidR="0002051E" w:rsidRDefault="0002051E" w:rsidP="00830DC7">
      <w:pPr>
        <w:spacing w:after="120"/>
        <w:ind w:left="288" w:hanging="288"/>
        <w:rPr>
          <w:rFonts w:ascii="Arial" w:hAnsi="Arial" w:cs="Arial"/>
        </w:rPr>
      </w:pPr>
      <w:r w:rsidRPr="00CA70E2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CA70E2">
        <w:rPr>
          <w:rFonts w:ascii="Arial" w:hAnsi="Arial" w:cs="Arial"/>
        </w:rPr>
        <w:t xml:space="preserve"> Rogers, </w:t>
      </w:r>
      <w:r>
        <w:rPr>
          <w:rFonts w:ascii="Arial" w:hAnsi="Arial" w:cs="Arial"/>
        </w:rPr>
        <w:t>et al.</w:t>
      </w:r>
      <w:r w:rsidRPr="00CA7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1999. </w:t>
      </w:r>
      <w:r w:rsidRPr="00CA70E2">
        <w:rPr>
          <w:rFonts w:ascii="Arial" w:hAnsi="Arial" w:cs="Arial"/>
        </w:rPr>
        <w:t xml:space="preserve">“Effects of an entertainment-education radio soap opera on family planning behavior in Tanzania,” </w:t>
      </w:r>
      <w:r w:rsidRPr="00CA70E2">
        <w:rPr>
          <w:rFonts w:ascii="Arial" w:hAnsi="Arial" w:cs="Arial"/>
          <w:i/>
          <w:iCs/>
        </w:rPr>
        <w:t>Studies in Family Planning</w:t>
      </w:r>
      <w:r w:rsidRPr="00CA70E2">
        <w:rPr>
          <w:rFonts w:ascii="Arial" w:hAnsi="Arial" w:cs="Arial"/>
          <w:i/>
        </w:rPr>
        <w:t>,</w:t>
      </w:r>
      <w:r w:rsidRPr="00CA70E2">
        <w:rPr>
          <w:rFonts w:ascii="Arial" w:hAnsi="Arial" w:cs="Arial"/>
        </w:rPr>
        <w:t xml:space="preserve"> pp. 193-211. </w:t>
      </w:r>
      <w:r w:rsidRPr="00382A00">
        <w:rPr>
          <w:rFonts w:ascii="Arial" w:hAnsi="Arial" w:cs="Arial"/>
        </w:rPr>
        <w:t>(</w:t>
      </w:r>
      <w:r>
        <w:rPr>
          <w:rFonts w:ascii="Arial" w:hAnsi="Arial" w:cs="Arial"/>
        </w:rPr>
        <w:t>Public i</w:t>
      </w:r>
      <w:r w:rsidRPr="00382A00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campaign)</w:t>
      </w:r>
    </w:p>
    <w:p w:rsidR="0002051E" w:rsidRDefault="0002051E" w:rsidP="00830DC7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G. Henry and C. Gordon, 2003. “Driving less for better air: Impacts of a public information campaign,”</w:t>
      </w:r>
      <w:r w:rsidRPr="00F614F1">
        <w:rPr>
          <w:rFonts w:ascii="Arial" w:hAnsi="Arial" w:cs="Arial"/>
          <w:i/>
        </w:rPr>
        <w:t xml:space="preserve"> </w:t>
      </w:r>
      <w:r w:rsidRPr="00382A00">
        <w:rPr>
          <w:rFonts w:ascii="Arial" w:hAnsi="Arial" w:cs="Arial"/>
          <w:i/>
        </w:rPr>
        <w:t>Journal of Policy Analysis and Management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22(1), pp. 45-63.</w:t>
      </w:r>
      <w:r w:rsidRPr="00F614F1"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(</w:t>
      </w:r>
      <w:r>
        <w:rPr>
          <w:rFonts w:ascii="Arial" w:hAnsi="Arial" w:cs="Arial"/>
        </w:rPr>
        <w:t>Public i</w:t>
      </w:r>
      <w:r w:rsidRPr="00382A00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campaign)</w:t>
      </w:r>
    </w:p>
    <w:p w:rsidR="0002051E" w:rsidRPr="00F21DD0" w:rsidRDefault="0002051E" w:rsidP="00F21DD0">
      <w:pPr>
        <w:spacing w:after="120"/>
        <w:ind w:left="288" w:hanging="288"/>
        <w:rPr>
          <w:rFonts w:ascii="Arial" w:hAnsi="Arial" w:cs="Arial"/>
        </w:rPr>
      </w:pPr>
      <w:r w:rsidRPr="001712AB">
        <w:rPr>
          <w:rFonts w:ascii="Arial" w:hAnsi="Arial" w:cs="Arial"/>
        </w:rPr>
        <w:t>J. Fletcher, D. Friswold and N. Tefft (2010). “The effects of soft drink taxes on child and adolescent consumption and weight outcomes,”</w:t>
      </w:r>
      <w:r w:rsidRPr="001712AB">
        <w:rPr>
          <w:rFonts w:ascii="Arial" w:hAnsi="Arial" w:cs="Arial"/>
          <w:color w:val="0000FF"/>
        </w:rPr>
        <w:t xml:space="preserve"> </w:t>
      </w:r>
      <w:r w:rsidRPr="001712AB">
        <w:rPr>
          <w:rFonts w:ascii="Arial" w:hAnsi="Arial" w:cs="Arial"/>
          <w:i/>
        </w:rPr>
        <w:t>Journal of Public Economics</w:t>
      </w:r>
      <w:r w:rsidRPr="001712AB">
        <w:rPr>
          <w:rFonts w:ascii="Arial" w:hAnsi="Arial" w:cs="Arial"/>
        </w:rPr>
        <w:t xml:space="preserve"> 94: 967–974. (Corrective taxes)</w:t>
      </w:r>
    </w:p>
    <w:p w:rsidR="0002051E" w:rsidRDefault="0002051E" w:rsidP="00243012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G. Metcalf (2009). “Market-based policy options to control US greenhouse gas emissions,”</w:t>
      </w:r>
      <w:r w:rsidRPr="003A6D85">
        <w:rPr>
          <w:rFonts w:ascii="Arial" w:hAnsi="Arial" w:cs="Arial"/>
          <w:i/>
        </w:rPr>
        <w:t xml:space="preserve"> </w:t>
      </w:r>
      <w:r w:rsidRPr="00382A00">
        <w:rPr>
          <w:rFonts w:ascii="Arial" w:hAnsi="Arial" w:cs="Arial"/>
          <w:i/>
        </w:rPr>
        <w:t>Journal of</w:t>
      </w:r>
      <w:r>
        <w:rPr>
          <w:rFonts w:ascii="Arial" w:hAnsi="Arial" w:cs="Arial"/>
          <w:i/>
        </w:rPr>
        <w:t xml:space="preserve"> Economic Perspectives </w:t>
      </w:r>
      <w:r w:rsidRPr="003A6D85">
        <w:rPr>
          <w:rFonts w:ascii="Arial" w:hAnsi="Arial" w:cs="Arial"/>
        </w:rPr>
        <w:t>23(2), pp.5-27.</w:t>
      </w:r>
      <w:r>
        <w:rPr>
          <w:rFonts w:ascii="Arial" w:hAnsi="Arial" w:cs="Arial"/>
        </w:rPr>
        <w:t xml:space="preserve"> (Taxes/tradable permits)</w:t>
      </w:r>
    </w:p>
    <w:p w:rsidR="0002051E" w:rsidRDefault="0002051E" w:rsidP="00324DF4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J. Tauras. 2005. “Can public policy deter smoking escalation among young adults?” </w:t>
      </w:r>
      <w:r w:rsidRPr="00382A00">
        <w:rPr>
          <w:rFonts w:ascii="Arial" w:hAnsi="Arial" w:cs="Arial"/>
          <w:i/>
        </w:rPr>
        <w:t>Journal of Policy Analysis &amp; Management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24(4) pp. 771-784 </w:t>
      </w:r>
      <w:r w:rsidRPr="00382A00">
        <w:rPr>
          <w:rFonts w:ascii="Arial" w:hAnsi="Arial" w:cs="Arial"/>
        </w:rPr>
        <w:t>(Excise taxation)</w:t>
      </w:r>
    </w:p>
    <w:p w:rsidR="0002051E" w:rsidRDefault="0002051E" w:rsidP="00324DF4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K. Hassett and G. Metcalf (1995). “Energy Tax Credits and Residential Conservation Investment: Evidence from Panel Data.”  </w:t>
      </w:r>
      <w:r w:rsidRPr="00382A00">
        <w:rPr>
          <w:rFonts w:ascii="Arial" w:hAnsi="Arial" w:cs="Arial"/>
          <w:i/>
        </w:rPr>
        <w:t>Journal of Public Economics</w:t>
      </w:r>
      <w:r w:rsidRPr="00382A00">
        <w:rPr>
          <w:rFonts w:ascii="Arial" w:hAnsi="Arial" w:cs="Arial"/>
        </w:rPr>
        <w:t xml:space="preserve"> 57, 201-217. (Tax </w:t>
      </w:r>
      <w:r>
        <w:rPr>
          <w:rFonts w:ascii="Arial" w:hAnsi="Arial" w:cs="Arial"/>
        </w:rPr>
        <w:t>expenditures</w:t>
      </w:r>
      <w:r w:rsidRPr="00382A00">
        <w:rPr>
          <w:rFonts w:ascii="Arial" w:hAnsi="Arial" w:cs="Arial"/>
        </w:rPr>
        <w:t>)</w:t>
      </w:r>
    </w:p>
    <w:p w:rsidR="0002051E" w:rsidRPr="00382A00" w:rsidRDefault="0002051E" w:rsidP="00324DF4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A. Brooks, 2007. “Income tax policy and charitable giving,” </w:t>
      </w:r>
      <w:r w:rsidRPr="00382A00">
        <w:rPr>
          <w:rFonts w:ascii="Arial" w:hAnsi="Arial" w:cs="Arial"/>
          <w:i/>
        </w:rPr>
        <w:t>Journal of Policy Analysis &amp; Management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26(3) pp. 599-612. (Tax expenditures)</w:t>
      </w:r>
    </w:p>
    <w:p w:rsidR="0002051E" w:rsidRDefault="0002051E" w:rsidP="009D36A7">
      <w:pPr>
        <w:spacing w:after="120"/>
        <w:ind w:left="288" w:hanging="288"/>
        <w:rPr>
          <w:rFonts w:ascii="Arial" w:hAnsi="Arial" w:cs="Arial"/>
          <w:snapToGrid w:val="0"/>
        </w:rPr>
      </w:pPr>
      <w:r w:rsidRPr="001712AB">
        <w:rPr>
          <w:rFonts w:ascii="Arial" w:hAnsi="Arial" w:cs="Arial"/>
          <w:snapToGrid w:val="0"/>
        </w:rPr>
        <w:t xml:space="preserve">J. Kolko and D. Neumark (2010). “Do </w:t>
      </w:r>
      <w:r w:rsidRPr="001712AB">
        <w:rPr>
          <w:rFonts w:ascii="Arial" w:hAnsi="Arial" w:cs="Arial"/>
          <w:i/>
          <w:snapToGrid w:val="0"/>
        </w:rPr>
        <w:t>some</w:t>
      </w:r>
      <w:r w:rsidRPr="001712AB">
        <w:rPr>
          <w:rFonts w:ascii="Arial" w:hAnsi="Arial" w:cs="Arial"/>
          <w:snapToGrid w:val="0"/>
        </w:rPr>
        <w:t xml:space="preserve"> enterprise zones create jobs?”</w:t>
      </w:r>
      <w:r w:rsidRPr="001712AB">
        <w:rPr>
          <w:rFonts w:ascii="Arial" w:hAnsi="Arial" w:cs="Arial"/>
          <w:i/>
        </w:rPr>
        <w:t xml:space="preserve"> Journal of Policy Analysis and Management 29</w:t>
      </w:r>
      <w:r w:rsidRPr="001712AB">
        <w:rPr>
          <w:rFonts w:ascii="Arial" w:hAnsi="Arial" w:cs="Arial"/>
        </w:rPr>
        <w:t>(1) pp. 5-38. (Tax expenditures)</w:t>
      </w:r>
    </w:p>
    <w:p w:rsidR="0002051E" w:rsidRPr="00423EF9" w:rsidRDefault="0002051E" w:rsidP="00423EF9">
      <w:pPr>
        <w:pStyle w:val="Heading1"/>
        <w:spacing w:before="0" w:beforeAutospacing="0" w:after="120" w:afterAutospacing="0"/>
        <w:ind w:left="288" w:hanging="288"/>
        <w:rPr>
          <w:rFonts w:ascii="Arial" w:hAnsi="Arial" w:cs="Arial"/>
          <w:b w:val="0"/>
          <w:color w:val="000000"/>
          <w:sz w:val="24"/>
          <w:szCs w:val="24"/>
        </w:rPr>
      </w:pPr>
      <w:r w:rsidRPr="001712AB">
        <w:rPr>
          <w:rFonts w:ascii="Arial" w:hAnsi="Arial" w:cs="Arial"/>
          <w:b w:val="0"/>
          <w:color w:val="000000"/>
          <w:sz w:val="24"/>
          <w:szCs w:val="24"/>
        </w:rPr>
        <w:t>B. Clark and A. Whitford (2011) “Does more federal environmental funding increase or decrease states' efforts?”</w:t>
      </w:r>
      <w:r w:rsidRPr="001712AB">
        <w:rPr>
          <w:rFonts w:ascii="Arial" w:hAnsi="Arial" w:cs="Arial"/>
          <w:b w:val="0"/>
          <w:i/>
          <w:sz w:val="24"/>
          <w:szCs w:val="24"/>
        </w:rPr>
        <w:t xml:space="preserve"> Journal of Policy Analysis and Management 30</w:t>
      </w:r>
      <w:r w:rsidRPr="001712AB">
        <w:rPr>
          <w:rFonts w:ascii="Arial" w:hAnsi="Arial" w:cs="Arial"/>
          <w:b w:val="0"/>
          <w:sz w:val="24"/>
          <w:szCs w:val="24"/>
        </w:rPr>
        <w:t>(1) pp. 136-152. (Grants)</w:t>
      </w:r>
    </w:p>
    <w:p w:rsidR="0002051E" w:rsidRDefault="0002051E" w:rsidP="009D36A7">
      <w:pPr>
        <w:spacing w:after="120"/>
        <w:ind w:left="288" w:hanging="28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S. Hamersma (2008). “The effects of an employer subsidy on employment outcomes: A study of the work opportunity and welfare-to-work tax credits,” </w:t>
      </w:r>
      <w:r>
        <w:rPr>
          <w:rFonts w:ascii="Arial" w:hAnsi="Arial" w:cs="Arial"/>
          <w:i/>
        </w:rPr>
        <w:t>Journal of Policy Analysis and</w:t>
      </w:r>
      <w:r w:rsidRPr="00382A00">
        <w:rPr>
          <w:rFonts w:ascii="Arial" w:hAnsi="Arial" w:cs="Arial"/>
          <w:i/>
        </w:rPr>
        <w:t xml:space="preserve"> Management</w:t>
      </w:r>
      <w:r>
        <w:rPr>
          <w:rFonts w:ascii="Arial" w:hAnsi="Arial" w:cs="Arial"/>
          <w:i/>
        </w:rPr>
        <w:t xml:space="preserve"> </w:t>
      </w:r>
      <w:r w:rsidRPr="006A256F">
        <w:rPr>
          <w:rFonts w:ascii="Arial" w:hAnsi="Arial" w:cs="Arial"/>
        </w:rPr>
        <w:t>27(3) pp. 498-520.</w:t>
      </w:r>
      <w:r>
        <w:rPr>
          <w:rFonts w:ascii="Arial" w:hAnsi="Arial" w:cs="Arial"/>
        </w:rPr>
        <w:t xml:space="preserve"> (Subsidies)</w:t>
      </w:r>
    </w:p>
    <w:p w:rsidR="0002051E" w:rsidRPr="00DB01B0" w:rsidRDefault="0002051E" w:rsidP="00764216">
      <w:pPr>
        <w:spacing w:after="120"/>
        <w:ind w:left="288" w:hanging="288"/>
        <w:rPr>
          <w:rFonts w:ascii="Arial" w:hAnsi="Arial" w:cs="Arial"/>
        </w:rPr>
      </w:pPr>
      <w:r w:rsidRPr="00DB01B0">
        <w:rPr>
          <w:rFonts w:ascii="Arial" w:hAnsi="Arial" w:cs="Arial"/>
          <w:snapToGrid w:val="0"/>
        </w:rPr>
        <w:t>K</w:t>
      </w:r>
      <w:r>
        <w:rPr>
          <w:rFonts w:ascii="Arial" w:hAnsi="Arial" w:cs="Arial"/>
          <w:snapToGrid w:val="0"/>
        </w:rPr>
        <w:t>.</w:t>
      </w:r>
      <w:r w:rsidRPr="00DB01B0">
        <w:rPr>
          <w:rFonts w:ascii="Arial" w:hAnsi="Arial" w:cs="Arial"/>
          <w:snapToGrid w:val="0"/>
        </w:rPr>
        <w:t xml:space="preserve"> Deininger, </w:t>
      </w:r>
      <w:r>
        <w:rPr>
          <w:rFonts w:ascii="Arial" w:hAnsi="Arial" w:cs="Arial"/>
          <w:snapToGrid w:val="0"/>
        </w:rPr>
        <w:t xml:space="preserve">2003. </w:t>
      </w:r>
      <w:r w:rsidRPr="00DB01B0">
        <w:rPr>
          <w:rFonts w:ascii="Arial" w:hAnsi="Arial" w:cs="Arial"/>
          <w:snapToGrid w:val="0"/>
        </w:rPr>
        <w:t xml:space="preserve">“Does cost of schooling affect enrollment by the poor? Universal primary education in Uganda,” </w:t>
      </w:r>
      <w:r w:rsidRPr="00DB01B0">
        <w:rPr>
          <w:rFonts w:ascii="Arial" w:hAnsi="Arial" w:cs="Arial"/>
          <w:i/>
          <w:iCs/>
          <w:snapToGrid w:val="0"/>
        </w:rPr>
        <w:t>Economics of Education Review</w:t>
      </w:r>
      <w:r w:rsidRPr="00DB01B0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22(3) pp. </w:t>
      </w:r>
      <w:r w:rsidRPr="00DB01B0">
        <w:rPr>
          <w:rFonts w:ascii="Arial" w:hAnsi="Arial" w:cs="Arial"/>
          <w:snapToGrid w:val="0"/>
        </w:rPr>
        <w:t>291–305.</w:t>
      </w:r>
      <w:r w:rsidRPr="00DB01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In-kind s</w:t>
      </w:r>
      <w:r w:rsidRPr="00DB01B0">
        <w:rPr>
          <w:rFonts w:ascii="Arial" w:hAnsi="Arial" w:cs="Arial"/>
        </w:rPr>
        <w:t>ubsidies)</w:t>
      </w:r>
    </w:p>
    <w:p w:rsidR="0002051E" w:rsidRPr="001712AB" w:rsidRDefault="0002051E" w:rsidP="00764216">
      <w:pPr>
        <w:spacing w:after="120"/>
        <w:ind w:left="288" w:hanging="288"/>
        <w:rPr>
          <w:rFonts w:ascii="Arial" w:hAnsi="Arial" w:cs="Arial"/>
          <w:szCs w:val="18"/>
        </w:rPr>
      </w:pPr>
      <w:r w:rsidRPr="001712AB">
        <w:rPr>
          <w:rFonts w:ascii="Arial" w:hAnsi="Arial" w:cs="Arial"/>
          <w:szCs w:val="18"/>
        </w:rPr>
        <w:t xml:space="preserve">G. Henry and C. Gordon. (2006)  Competition in the sandbox: A test of the effects of preschool competition on educational outcomes,” </w:t>
      </w:r>
      <w:r w:rsidRPr="001712AB">
        <w:rPr>
          <w:rFonts w:ascii="Arial" w:hAnsi="Arial" w:cs="Arial"/>
          <w:bCs/>
          <w:i/>
          <w:szCs w:val="18"/>
        </w:rPr>
        <w:t>Journal of Policy Analysis and Management</w:t>
      </w:r>
      <w:r w:rsidRPr="001712AB">
        <w:rPr>
          <w:rFonts w:ascii="Arial" w:hAnsi="Arial" w:cs="Arial"/>
          <w:bCs/>
          <w:szCs w:val="18"/>
        </w:rPr>
        <w:t xml:space="preserve"> 25(1) pp. </w:t>
      </w:r>
      <w:r w:rsidRPr="001712AB">
        <w:rPr>
          <w:rFonts w:ascii="Arial" w:hAnsi="Arial" w:cs="Arial"/>
          <w:szCs w:val="18"/>
        </w:rPr>
        <w:t xml:space="preserve"> 97–127.  (Vouchers)</w:t>
      </w:r>
    </w:p>
    <w:p w:rsidR="0002051E" w:rsidRPr="00764216" w:rsidRDefault="0002051E" w:rsidP="00764216">
      <w:pPr>
        <w:spacing w:after="120"/>
        <w:ind w:left="288" w:hanging="288"/>
        <w:rPr>
          <w:rFonts w:ascii="Arial" w:hAnsi="Arial" w:cs="Arial"/>
          <w:szCs w:val="18"/>
        </w:rPr>
      </w:pPr>
      <w:r w:rsidRPr="001712AB">
        <w:rPr>
          <w:rFonts w:ascii="Arial" w:hAnsi="Arial" w:cs="Arial"/>
          <w:szCs w:val="18"/>
        </w:rPr>
        <w:t xml:space="preserve">T. Joyce, A. Racine and C. Yunzal-Butler (2008). Reassessing the WIC effect: Evidence from the Pregnancy Nutrition Surveillance System  </w:t>
      </w:r>
      <w:r w:rsidRPr="001712AB">
        <w:rPr>
          <w:rFonts w:ascii="Arial" w:hAnsi="Arial" w:cs="Arial"/>
          <w:bCs/>
          <w:i/>
          <w:szCs w:val="18"/>
        </w:rPr>
        <w:t>Journal of Policy Analysis and Management</w:t>
      </w:r>
      <w:r w:rsidRPr="001712AB">
        <w:rPr>
          <w:rFonts w:ascii="Arial" w:hAnsi="Arial" w:cs="Arial"/>
          <w:b/>
          <w:bCs/>
          <w:szCs w:val="18"/>
        </w:rPr>
        <w:t xml:space="preserve">, </w:t>
      </w:r>
      <w:r w:rsidRPr="001712AB">
        <w:rPr>
          <w:rFonts w:ascii="Arial" w:hAnsi="Arial" w:cs="Arial"/>
          <w:szCs w:val="18"/>
        </w:rPr>
        <w:t>27(2), pp. 277–303 (Vouchers)</w:t>
      </w:r>
    </w:p>
    <w:p w:rsidR="0002051E" w:rsidRPr="00382A00" w:rsidRDefault="0002051E" w:rsidP="00830DC7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T. Brown and M. Potoski (2003). “Managing Contract Performance: A Transaction Costs Approach.” </w:t>
      </w:r>
      <w:r w:rsidRPr="00382A00">
        <w:rPr>
          <w:rFonts w:ascii="Arial" w:hAnsi="Arial" w:cs="Arial"/>
          <w:i/>
        </w:rPr>
        <w:t>Journal of Policy Analysis &amp; Management</w:t>
      </w:r>
      <w:r w:rsidRPr="00382A00">
        <w:rPr>
          <w:rFonts w:ascii="Arial" w:hAnsi="Arial" w:cs="Arial"/>
        </w:rPr>
        <w:t xml:space="preserve"> 22(2), 275-97</w:t>
      </w:r>
      <w:r w:rsidRPr="00830DC7">
        <w:rPr>
          <w:rFonts w:ascii="Arial" w:hAnsi="Arial" w:cs="Arial"/>
        </w:rPr>
        <w:t>.(</w:t>
      </w:r>
      <w:r>
        <w:rPr>
          <w:rFonts w:ascii="Arial" w:hAnsi="Arial" w:cs="Arial"/>
        </w:rPr>
        <w:t>Contracting</w:t>
      </w:r>
      <w:r w:rsidRPr="00830DC7">
        <w:rPr>
          <w:rFonts w:ascii="Arial" w:hAnsi="Arial" w:cs="Arial"/>
        </w:rPr>
        <w:t>)</w:t>
      </w:r>
    </w:p>
    <w:p w:rsidR="0002051E" w:rsidRPr="00070782" w:rsidRDefault="0002051E" w:rsidP="00070782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L. </w:t>
      </w:r>
      <w:r w:rsidRPr="00070782">
        <w:rPr>
          <w:rFonts w:ascii="Arial" w:hAnsi="Arial" w:cs="Arial"/>
        </w:rPr>
        <w:t xml:space="preserve">Dearden, </w:t>
      </w:r>
      <w:r>
        <w:rPr>
          <w:rFonts w:ascii="Arial" w:hAnsi="Arial" w:cs="Arial"/>
        </w:rPr>
        <w:t xml:space="preserve">C. </w:t>
      </w:r>
      <w:r w:rsidRPr="00070782">
        <w:rPr>
          <w:rFonts w:ascii="Arial" w:hAnsi="Arial" w:cs="Arial"/>
        </w:rPr>
        <w:t xml:space="preserve">Emmerson, </w:t>
      </w:r>
      <w:r>
        <w:rPr>
          <w:rFonts w:ascii="Arial" w:hAnsi="Arial" w:cs="Arial"/>
        </w:rPr>
        <w:t xml:space="preserve">C. </w:t>
      </w:r>
      <w:r w:rsidRPr="00070782">
        <w:rPr>
          <w:rFonts w:ascii="Arial" w:hAnsi="Arial" w:cs="Arial"/>
        </w:rPr>
        <w:t>Frayne, et al</w:t>
      </w:r>
      <w:r>
        <w:rPr>
          <w:rFonts w:ascii="Arial" w:hAnsi="Arial" w:cs="Arial"/>
        </w:rPr>
        <w:t>.</w:t>
      </w:r>
      <w:r w:rsidRPr="00070782">
        <w:rPr>
          <w:rFonts w:ascii="Arial" w:hAnsi="Arial" w:cs="Arial"/>
        </w:rPr>
        <w:t xml:space="preserve"> 2009. Conditional cash transfers and school dropout rates,” </w:t>
      </w:r>
      <w:r w:rsidRPr="00070782">
        <w:rPr>
          <w:rFonts w:ascii="Arial" w:hAnsi="Arial" w:cs="Arial"/>
          <w:i/>
        </w:rPr>
        <w:t>Journal of Human Resources</w:t>
      </w:r>
      <w:r w:rsidRPr="00070782">
        <w:rPr>
          <w:rFonts w:ascii="Arial" w:hAnsi="Arial" w:cs="Arial"/>
        </w:rPr>
        <w:t xml:space="preserve"> 44(4) pp. </w:t>
      </w:r>
      <w:r w:rsidRPr="00070782">
        <w:rPr>
          <w:rStyle w:val="databold"/>
          <w:rFonts w:ascii="Arial" w:hAnsi="Arial" w:cs="Arial"/>
        </w:rPr>
        <w:t>827-857.</w:t>
      </w:r>
      <w:r w:rsidRPr="00070782">
        <w:rPr>
          <w:rFonts w:ascii="Arial" w:hAnsi="Arial" w:cs="Arial"/>
        </w:rPr>
        <w:t xml:space="preserve"> (Conditional cash transfers)</w:t>
      </w:r>
    </w:p>
    <w:p w:rsidR="0002051E" w:rsidRPr="00070782" w:rsidRDefault="0002051E" w:rsidP="007C17BC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T. </w:t>
      </w:r>
      <w:r w:rsidRPr="00070782">
        <w:rPr>
          <w:rFonts w:ascii="Arial" w:hAnsi="Arial" w:cs="Arial"/>
        </w:rPr>
        <w:t xml:space="preserve">Barham and J. Maluccio. 2009. “Eradicating diseases: The effect of conditional cash transfers on vaccination coverage in rural Nicaragua,” </w:t>
      </w:r>
      <w:r w:rsidRPr="00070782">
        <w:rPr>
          <w:rStyle w:val="databold"/>
          <w:rFonts w:ascii="Arial" w:hAnsi="Arial" w:cs="Arial"/>
          <w:i/>
        </w:rPr>
        <w:t>Journal of Health Economics</w:t>
      </w:r>
      <w:r w:rsidRPr="00070782">
        <w:rPr>
          <w:rStyle w:val="databold"/>
          <w:rFonts w:ascii="Arial" w:hAnsi="Arial" w:cs="Arial"/>
        </w:rPr>
        <w:t xml:space="preserve"> 28(3)</w:t>
      </w:r>
      <w:r w:rsidRPr="00070782">
        <w:rPr>
          <w:rFonts w:ascii="Arial" w:hAnsi="Arial" w:cs="Arial"/>
        </w:rPr>
        <w:t xml:space="preserve"> pp. </w:t>
      </w:r>
      <w:r w:rsidRPr="00070782">
        <w:rPr>
          <w:rStyle w:val="databold"/>
          <w:rFonts w:ascii="Arial" w:hAnsi="Arial" w:cs="Arial"/>
        </w:rPr>
        <w:t>611-621.</w:t>
      </w:r>
      <w:r w:rsidRPr="00070782">
        <w:rPr>
          <w:rFonts w:ascii="Arial" w:hAnsi="Arial" w:cs="Arial"/>
        </w:rPr>
        <w:t xml:space="preserve"> (Conditional cash transfers)</w:t>
      </w:r>
    </w:p>
    <w:p w:rsidR="0002051E" w:rsidRPr="00382A00" w:rsidRDefault="0002051E" w:rsidP="00EB6888">
      <w:pPr>
        <w:rPr>
          <w:rFonts w:ascii="Arial" w:hAnsi="Arial" w:cs="Arial"/>
        </w:rPr>
      </w:pPr>
    </w:p>
    <w:p w:rsidR="0002051E" w:rsidRPr="003E3778" w:rsidRDefault="0002051E" w:rsidP="00EB6888">
      <w:pPr>
        <w:rPr>
          <w:rFonts w:ascii="Arial" w:hAnsi="Arial" w:cs="Arial"/>
          <w:b/>
          <w:sz w:val="28"/>
        </w:rPr>
      </w:pPr>
      <w:r w:rsidRPr="003E3778">
        <w:rPr>
          <w:rFonts w:ascii="Arial" w:hAnsi="Arial" w:cs="Arial"/>
          <w:b/>
          <w:sz w:val="28"/>
        </w:rPr>
        <w:t xml:space="preserve">Week Six (May </w:t>
      </w:r>
      <w:r>
        <w:rPr>
          <w:rFonts w:ascii="Arial" w:hAnsi="Arial" w:cs="Arial"/>
          <w:b/>
          <w:sz w:val="28"/>
        </w:rPr>
        <w:t>3</w:t>
      </w:r>
      <w:r w:rsidRPr="003E3778">
        <w:rPr>
          <w:rFonts w:ascii="Arial" w:hAnsi="Arial" w:cs="Arial"/>
          <w:b/>
          <w:sz w:val="28"/>
        </w:rPr>
        <w:t>)</w:t>
      </w:r>
    </w:p>
    <w:p w:rsidR="0002051E" w:rsidRPr="00382A00" w:rsidRDefault="0002051E" w:rsidP="00324DF4">
      <w:pPr>
        <w:ind w:left="288"/>
        <w:rPr>
          <w:rFonts w:ascii="Arial" w:hAnsi="Arial" w:cs="Arial"/>
        </w:rPr>
      </w:pPr>
      <w:r w:rsidRPr="00382A00">
        <w:rPr>
          <w:rFonts w:ascii="Arial" w:hAnsi="Arial" w:cs="Arial"/>
        </w:rPr>
        <w:t>Alternative theories of and approaches to policy analysis</w:t>
      </w:r>
    </w:p>
    <w:p w:rsidR="0002051E" w:rsidRPr="00382A00" w:rsidRDefault="0002051E" w:rsidP="00324DF4">
      <w:pPr>
        <w:rPr>
          <w:rFonts w:ascii="Arial" w:hAnsi="Arial" w:cs="Arial"/>
        </w:rPr>
      </w:pPr>
    </w:p>
    <w:p w:rsidR="0002051E" w:rsidRPr="00382A00" w:rsidRDefault="0002051E" w:rsidP="00324DF4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>Reading</w:t>
      </w:r>
      <w:r>
        <w:rPr>
          <w:rFonts w:ascii="Arial" w:hAnsi="Arial" w:cs="Arial"/>
          <w:b/>
        </w:rPr>
        <w:t>s</w:t>
      </w:r>
      <w:r w:rsidRPr="00382A00">
        <w:rPr>
          <w:rFonts w:ascii="Arial" w:hAnsi="Arial" w:cs="Arial"/>
          <w:b/>
        </w:rPr>
        <w:t xml:space="preserve">: </w:t>
      </w:r>
    </w:p>
    <w:p w:rsidR="0002051E" w:rsidRPr="007C17BC" w:rsidRDefault="0002051E" w:rsidP="007C17BC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7C17BC">
        <w:rPr>
          <w:rFonts w:ascii="Arial" w:hAnsi="Arial" w:cs="Arial"/>
        </w:rPr>
        <w:t>A. Fung (2006).  “Democratizing the Policy Process.” In M</w:t>
      </w:r>
      <w:r>
        <w:rPr>
          <w:rFonts w:ascii="Arial" w:hAnsi="Arial" w:cs="Arial"/>
        </w:rPr>
        <w:t>.</w:t>
      </w:r>
      <w:r w:rsidRPr="007C17BC">
        <w:rPr>
          <w:rFonts w:ascii="Arial" w:hAnsi="Arial" w:cs="Arial"/>
        </w:rPr>
        <w:t xml:space="preserve"> Moran, M</w:t>
      </w:r>
      <w:r>
        <w:rPr>
          <w:rFonts w:ascii="Arial" w:hAnsi="Arial" w:cs="Arial"/>
        </w:rPr>
        <w:t>.</w:t>
      </w:r>
      <w:r w:rsidRPr="007C17BC">
        <w:rPr>
          <w:rFonts w:ascii="Arial" w:hAnsi="Arial" w:cs="Arial"/>
        </w:rPr>
        <w:t xml:space="preserve"> Rein, and R</w:t>
      </w:r>
      <w:r>
        <w:rPr>
          <w:rFonts w:ascii="Arial" w:hAnsi="Arial" w:cs="Arial"/>
        </w:rPr>
        <w:t>.</w:t>
      </w:r>
      <w:r w:rsidRPr="007C17BC">
        <w:rPr>
          <w:rFonts w:ascii="Arial" w:hAnsi="Arial" w:cs="Arial"/>
        </w:rPr>
        <w:t xml:space="preserve"> Goodin (eds.). </w:t>
      </w:r>
      <w:r w:rsidRPr="007C17BC">
        <w:rPr>
          <w:rFonts w:ascii="Arial" w:hAnsi="Arial" w:cs="Arial"/>
          <w:i/>
        </w:rPr>
        <w:t>The Oxford Handbook of Public Policy</w:t>
      </w:r>
      <w:r w:rsidRPr="007C17BC">
        <w:rPr>
          <w:rFonts w:ascii="Arial" w:hAnsi="Arial" w:cs="Arial"/>
        </w:rPr>
        <w:t xml:space="preserve">. London and New York: Oxford University Press, pp. 669-685. </w:t>
      </w:r>
    </w:p>
    <w:p w:rsidR="0002051E" w:rsidRPr="007C17BC" w:rsidRDefault="0002051E" w:rsidP="007C17BC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7C17BC">
        <w:rPr>
          <w:rFonts w:ascii="Arial" w:hAnsi="Arial" w:cs="Arial"/>
        </w:rPr>
        <w:t xml:space="preserve">Deborah Stone (2002). </w:t>
      </w:r>
      <w:r w:rsidRPr="007C17BC">
        <w:rPr>
          <w:rFonts w:ascii="Arial" w:hAnsi="Arial" w:cs="Arial"/>
          <w:i/>
        </w:rPr>
        <w:t>Policy Paradox: The Art of Political Decisionmaking</w:t>
      </w:r>
      <w:r w:rsidRPr="007C17BC">
        <w:rPr>
          <w:rFonts w:ascii="Arial" w:hAnsi="Arial" w:cs="Arial"/>
        </w:rPr>
        <w:t xml:space="preserve">, Revised Edition. NY: W.W. Norton. </w:t>
      </w:r>
      <w:r>
        <w:rPr>
          <w:rFonts w:ascii="Arial" w:hAnsi="Arial" w:cs="Arial"/>
        </w:rPr>
        <w:t>(</w:t>
      </w:r>
      <w:r w:rsidRPr="008E32D7">
        <w:rPr>
          <w:rFonts w:ascii="Arial" w:hAnsi="Arial" w:cs="Arial"/>
          <w:u w:val="single"/>
        </w:rPr>
        <w:t>On reserve</w:t>
      </w:r>
      <w:r>
        <w:rPr>
          <w:rFonts w:ascii="Arial" w:hAnsi="Arial" w:cs="Arial"/>
        </w:rPr>
        <w:t>)</w:t>
      </w:r>
      <w:r w:rsidRPr="007C17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C17BC">
        <w:rPr>
          <w:rFonts w:ascii="Arial" w:hAnsi="Arial" w:cs="Arial"/>
        </w:rPr>
        <w:t xml:space="preserve">This is a long book but engaging and readable. </w:t>
      </w:r>
      <w:r>
        <w:rPr>
          <w:rFonts w:ascii="Arial" w:hAnsi="Arial" w:cs="Arial"/>
        </w:rPr>
        <w:t xml:space="preserve"> I suggest that everyone read the preface, introduction, chapter 1, short conclusion, and the </w:t>
      </w:r>
      <w:r w:rsidRPr="007C17BC">
        <w:rPr>
          <w:rFonts w:ascii="Arial" w:hAnsi="Arial" w:cs="Arial"/>
        </w:rPr>
        <w:t>short introductions to each of the book’s</w:t>
      </w:r>
      <w:r w:rsidRPr="0034683D">
        <w:rPr>
          <w:rFonts w:ascii="Arial" w:hAnsi="Arial" w:cs="Arial"/>
        </w:rPr>
        <w:t xml:space="preserve"> </w:t>
      </w:r>
      <w:r w:rsidRPr="007C17BC">
        <w:rPr>
          <w:rFonts w:ascii="Arial" w:hAnsi="Arial" w:cs="Arial"/>
        </w:rPr>
        <w:t>sections</w:t>
      </w:r>
      <w:r>
        <w:rPr>
          <w:rFonts w:ascii="Arial" w:hAnsi="Arial" w:cs="Arial"/>
        </w:rPr>
        <w:t xml:space="preserve"> (about 50 pp. total).  Then read one “Goals” chapter, one “Problems” chapter, and one or two chapters from “Solutions” </w:t>
      </w:r>
      <w:r w:rsidRPr="007C17BC">
        <w:rPr>
          <w:rFonts w:ascii="Arial" w:hAnsi="Arial" w:cs="Arial"/>
        </w:rPr>
        <w:t>(her take on policy instruments)</w:t>
      </w:r>
      <w:r>
        <w:rPr>
          <w:rFonts w:ascii="Arial" w:hAnsi="Arial" w:cs="Arial"/>
        </w:rPr>
        <w:t xml:space="preserve">. </w:t>
      </w:r>
    </w:p>
    <w:p w:rsidR="0002051E" w:rsidRPr="00382A00" w:rsidRDefault="0002051E" w:rsidP="00324DF4">
      <w:pPr>
        <w:rPr>
          <w:rFonts w:ascii="Arial" w:hAnsi="Arial" w:cs="Arial"/>
          <w:b/>
          <w:u w:val="single"/>
        </w:rPr>
      </w:pPr>
    </w:p>
    <w:p w:rsidR="0002051E" w:rsidRPr="003E3778" w:rsidRDefault="0002051E" w:rsidP="00EB6888">
      <w:pPr>
        <w:rPr>
          <w:rFonts w:ascii="Arial" w:hAnsi="Arial" w:cs="Arial"/>
          <w:sz w:val="28"/>
        </w:rPr>
      </w:pPr>
      <w:r w:rsidRPr="003E3778">
        <w:rPr>
          <w:rFonts w:ascii="Arial" w:hAnsi="Arial" w:cs="Arial"/>
          <w:b/>
          <w:sz w:val="28"/>
        </w:rPr>
        <w:t>Week Seven (May 1</w:t>
      </w:r>
      <w:r>
        <w:rPr>
          <w:rFonts w:ascii="Arial" w:hAnsi="Arial" w:cs="Arial"/>
          <w:b/>
          <w:sz w:val="28"/>
        </w:rPr>
        <w:t>0</w:t>
      </w:r>
      <w:r w:rsidRPr="003E3778">
        <w:rPr>
          <w:rFonts w:ascii="Arial" w:hAnsi="Arial" w:cs="Arial"/>
          <w:b/>
          <w:sz w:val="28"/>
        </w:rPr>
        <w:t>)</w:t>
      </w:r>
      <w:r w:rsidRPr="003E3778">
        <w:rPr>
          <w:rFonts w:ascii="Arial" w:hAnsi="Arial" w:cs="Arial"/>
          <w:sz w:val="28"/>
        </w:rPr>
        <w:t xml:space="preserve"> </w:t>
      </w:r>
    </w:p>
    <w:p w:rsidR="0002051E" w:rsidRPr="00382A00" w:rsidRDefault="0002051E" w:rsidP="00944322">
      <w:pPr>
        <w:ind w:left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Policy impact evaluation methods </w:t>
      </w:r>
    </w:p>
    <w:p w:rsidR="0002051E" w:rsidRDefault="0002051E" w:rsidP="00AB61BD">
      <w:pPr>
        <w:rPr>
          <w:rFonts w:ascii="Arial" w:hAnsi="Arial" w:cs="Arial"/>
          <w:b/>
        </w:rPr>
      </w:pPr>
    </w:p>
    <w:p w:rsidR="0002051E" w:rsidRPr="00382A00" w:rsidRDefault="0002051E" w:rsidP="00AB61BD">
      <w:pPr>
        <w:rPr>
          <w:rFonts w:ascii="Arial" w:hAnsi="Arial" w:cs="Arial"/>
        </w:rPr>
      </w:pPr>
      <w:r w:rsidRPr="00382A00">
        <w:rPr>
          <w:rFonts w:ascii="Arial" w:hAnsi="Arial" w:cs="Arial"/>
          <w:b/>
        </w:rPr>
        <w:t>Guest:</w:t>
      </w:r>
      <w:r>
        <w:rPr>
          <w:rFonts w:ascii="Arial" w:hAnsi="Arial" w:cs="Arial"/>
          <w:b/>
        </w:rPr>
        <w:t xml:space="preserve">  </w:t>
      </w:r>
      <w:r w:rsidRPr="00382A00">
        <w:rPr>
          <w:rFonts w:ascii="Arial" w:hAnsi="Arial" w:cs="Arial"/>
          <w:b/>
        </w:rPr>
        <w:t>Visiting Professor Maureen Pirog</w:t>
      </w:r>
      <w:r w:rsidRPr="00382A00">
        <w:rPr>
          <w:rFonts w:ascii="Arial" w:hAnsi="Arial" w:cs="Arial"/>
        </w:rPr>
        <w:t xml:space="preserve">, Editor of </w:t>
      </w:r>
      <w:r w:rsidRPr="00382A00">
        <w:rPr>
          <w:rFonts w:ascii="Arial" w:hAnsi="Arial" w:cs="Arial"/>
          <w:i/>
        </w:rPr>
        <w:t>JPAM</w:t>
      </w: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Default="0002051E" w:rsidP="00D67D67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>Readings</w:t>
      </w:r>
      <w:r>
        <w:rPr>
          <w:rFonts w:ascii="Arial" w:hAnsi="Arial" w:cs="Arial"/>
          <w:b/>
        </w:rPr>
        <w:t xml:space="preserve"> (Tentative)</w:t>
      </w:r>
      <w:r w:rsidRPr="00382A00">
        <w:rPr>
          <w:rFonts w:ascii="Arial" w:hAnsi="Arial" w:cs="Arial"/>
          <w:b/>
        </w:rPr>
        <w:t xml:space="preserve">: </w:t>
      </w:r>
    </w:p>
    <w:p w:rsidR="0002051E" w:rsidRPr="00D67D67" w:rsidRDefault="0002051E" w:rsidP="00D67D67">
      <w:pPr>
        <w:spacing w:after="120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D67D67">
        <w:rPr>
          <w:rFonts w:ascii="Arial" w:hAnsi="Arial" w:cs="Arial"/>
        </w:rPr>
        <w:t>M. Pirog</w:t>
      </w:r>
      <w:r>
        <w:rPr>
          <w:rFonts w:ascii="Arial" w:hAnsi="Arial" w:cs="Arial"/>
        </w:rPr>
        <w:t xml:space="preserve"> and L. Xu</w:t>
      </w:r>
      <w:r w:rsidRPr="00D67D67">
        <w:rPr>
          <w:rFonts w:ascii="Arial" w:hAnsi="Arial" w:cs="Arial"/>
        </w:rPr>
        <w:t>, “</w:t>
      </w:r>
      <w:r w:rsidRPr="00DF0178">
        <w:rPr>
          <w:rFonts w:ascii="Arial" w:hAnsi="Arial" w:cs="Arial"/>
        </w:rPr>
        <w:t>Directions in Public Program Evaluation in the US</w:t>
      </w:r>
      <w:r>
        <w:rPr>
          <w:rFonts w:ascii="Arial" w:hAnsi="Arial" w:cs="Arial"/>
        </w:rPr>
        <w:t>”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>R. Nathan and R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Hollister (2008). “The Role of Random Assignment in Social Policy Research</w:t>
      </w:r>
      <w:r>
        <w:rPr>
          <w:rFonts w:ascii="Arial" w:hAnsi="Arial" w:cs="Arial"/>
        </w:rPr>
        <w:t>,</w:t>
      </w:r>
      <w:r w:rsidRPr="00382A00">
        <w:rPr>
          <w:rFonts w:ascii="Arial" w:hAnsi="Arial" w:cs="Arial"/>
        </w:rPr>
        <w:t xml:space="preserve">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27(2), 401-415. (See also the responses to this exchange listed below [Pirog, 2009].)</w:t>
      </w:r>
    </w:p>
    <w:p w:rsidR="0002051E" w:rsidRPr="00DF05B0" w:rsidRDefault="0002051E" w:rsidP="009D7872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DF05B0">
        <w:rPr>
          <w:rFonts w:ascii="Arial" w:hAnsi="Arial" w:cs="Arial"/>
        </w:rPr>
        <w:t>A. Banerjee and E</w:t>
      </w:r>
      <w:r>
        <w:rPr>
          <w:rFonts w:ascii="Arial" w:hAnsi="Arial" w:cs="Arial"/>
        </w:rPr>
        <w:t>.</w:t>
      </w:r>
      <w:r w:rsidRPr="00DF05B0">
        <w:rPr>
          <w:rFonts w:ascii="Arial" w:hAnsi="Arial" w:cs="Arial"/>
        </w:rPr>
        <w:t xml:space="preserve"> Duflo, “</w:t>
      </w:r>
      <w:r>
        <w:rPr>
          <w:rFonts w:ascii="Arial" w:hAnsi="Arial" w:cs="Arial"/>
        </w:rPr>
        <w:t>T</w:t>
      </w:r>
      <w:r w:rsidRPr="00DF05B0">
        <w:rPr>
          <w:rFonts w:ascii="Arial" w:hAnsi="Arial" w:cs="Arial"/>
        </w:rPr>
        <w:t xml:space="preserve">he Experimental Approach to Development Economics,” </w:t>
      </w:r>
      <w:r w:rsidRPr="00DF05B0">
        <w:rPr>
          <w:rFonts w:ascii="Arial" w:hAnsi="Arial" w:cs="Arial"/>
          <w:i/>
        </w:rPr>
        <w:t>Annual Review of Economics</w:t>
      </w:r>
      <w:r w:rsidRPr="00DF05B0">
        <w:rPr>
          <w:rFonts w:ascii="Arial" w:hAnsi="Arial" w:cs="Arial"/>
        </w:rPr>
        <w:t>. 2009. 1:151–78</w:t>
      </w:r>
      <w:r>
        <w:rPr>
          <w:rFonts w:ascii="Arial" w:hAnsi="Arial" w:cs="Arial"/>
        </w:rPr>
        <w:t>.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 xml:space="preserve">T Cook, W. Shadish, and V. Wong (2008). “Three Conditions Under Which Experiments and Observational Studies Produce Comparable Causal Estimates: New Findings from Within-Study Comparisons.”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27(4), 724-750.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Greenberg, C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Michalopoulos &amp; P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Robins (2006). “Do Experimental and Nonexperimental Evaluations Give Different Answers about the Effectiveness of Government-Funded Training Programs?”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25(3), 523-552.</w:t>
      </w:r>
    </w:p>
    <w:p w:rsidR="0002051E" w:rsidRDefault="0002051E" w:rsidP="008738CC">
      <w:pPr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Wilde and R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Hollister (2007). “How Close is Close Enough? Evaluating Propensity Score Matching Using Data from a Class Size Reduction Experiment.”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26(3), 455-477.</w:t>
      </w:r>
    </w:p>
    <w:p w:rsidR="0002051E" w:rsidRDefault="0002051E" w:rsidP="00D67D67">
      <w:pPr>
        <w:rPr>
          <w:rFonts w:ascii="Arial" w:hAnsi="Arial" w:cs="Arial"/>
        </w:rPr>
      </w:pP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Default="0002051E" w:rsidP="00DC5C10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 xml:space="preserve">Supplementary: </w:t>
      </w:r>
    </w:p>
    <w:p w:rsidR="0002051E" w:rsidRPr="00382A00" w:rsidRDefault="0002051E" w:rsidP="002F4406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Pirog (Ed.) (2009). “The Role of Random Assignment in Social Policy Research.”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28(1), 164-181.  (</w:t>
      </w:r>
      <w:r>
        <w:rPr>
          <w:rFonts w:ascii="Arial" w:hAnsi="Arial" w:cs="Arial"/>
        </w:rPr>
        <w:t>R</w:t>
      </w:r>
      <w:r w:rsidRPr="00382A00">
        <w:rPr>
          <w:rFonts w:ascii="Arial" w:hAnsi="Arial" w:cs="Arial"/>
        </w:rPr>
        <w:t>esponses to the Nathan-Hollis</w:t>
      </w:r>
      <w:r>
        <w:rPr>
          <w:rFonts w:ascii="Arial" w:hAnsi="Arial" w:cs="Arial"/>
        </w:rPr>
        <w:t>t</w:t>
      </w:r>
      <w:r w:rsidRPr="00382A00">
        <w:rPr>
          <w:rFonts w:ascii="Arial" w:hAnsi="Arial" w:cs="Arial"/>
        </w:rPr>
        <w:t>er exchange above including one by Pirog, A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Buffardi, C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Chrisinger, P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Singh, and J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Briney)</w:t>
      </w:r>
      <w:r>
        <w:rPr>
          <w:rFonts w:ascii="Arial" w:hAnsi="Arial" w:cs="Arial"/>
        </w:rPr>
        <w:t>.</w:t>
      </w:r>
    </w:p>
    <w:p w:rsidR="0002051E" w:rsidRDefault="0002051E" w:rsidP="002F4406">
      <w:pPr>
        <w:spacing w:after="120"/>
        <w:ind w:left="288" w:hanging="288"/>
        <w:rPr>
          <w:rFonts w:ascii="Arial" w:hAnsi="Arial" w:cs="Arial"/>
        </w:rPr>
      </w:pPr>
      <w:r w:rsidRPr="002F4406">
        <w:rPr>
          <w:rFonts w:ascii="Arial" w:hAnsi="Arial" w:cs="Arial"/>
          <w:u w:val="single"/>
        </w:rPr>
        <w:t>Two advanced surveys</w:t>
      </w:r>
      <w:r w:rsidRPr="0096585B">
        <w:rPr>
          <w:rFonts w:ascii="Arial" w:hAnsi="Arial" w:cs="Arial"/>
        </w:rPr>
        <w:t xml:space="preserve"> (not on reserve)</w:t>
      </w:r>
      <w:r>
        <w:rPr>
          <w:rFonts w:ascii="Arial" w:hAnsi="Arial" w:cs="Arial"/>
        </w:rPr>
        <w:t>:</w:t>
      </w:r>
    </w:p>
    <w:p w:rsidR="0002051E" w:rsidRDefault="0002051E" w:rsidP="002F4406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G. Imbens and J. Woolbridge (2009) “Recent developments in the econometrics of program evaluation,” </w:t>
      </w:r>
      <w:r w:rsidRPr="002F4406">
        <w:rPr>
          <w:rFonts w:ascii="Arial" w:hAnsi="Arial" w:cs="Arial"/>
          <w:i/>
        </w:rPr>
        <w:t>Journal of Economic Literature</w:t>
      </w:r>
      <w:r>
        <w:rPr>
          <w:rFonts w:ascii="Arial" w:hAnsi="Arial" w:cs="Arial"/>
        </w:rPr>
        <w:t>, 47:1, pp. 5-86.</w:t>
      </w:r>
    </w:p>
    <w:p w:rsidR="0002051E" w:rsidRDefault="0002051E" w:rsidP="002F4406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R. Blundell and M. Dias 2009. “Alternative approaches to evaluation in empirical microeconomics,” </w:t>
      </w:r>
      <w:r w:rsidRPr="002F4406">
        <w:rPr>
          <w:rFonts w:ascii="Arial" w:hAnsi="Arial" w:cs="Arial"/>
          <w:i/>
        </w:rPr>
        <w:t>Journal of Human Resources</w:t>
      </w:r>
      <w:r>
        <w:rPr>
          <w:rFonts w:ascii="Arial" w:hAnsi="Arial" w:cs="Arial"/>
        </w:rPr>
        <w:t xml:space="preserve"> 44:3, pp. 565-640.</w:t>
      </w: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Pr="00E33A9E" w:rsidRDefault="0002051E" w:rsidP="00D67D67">
      <w:pPr>
        <w:rPr>
          <w:rFonts w:ascii="Arial" w:hAnsi="Arial" w:cs="Arial"/>
          <w:b/>
          <w:sz w:val="28"/>
        </w:rPr>
      </w:pPr>
      <w:r w:rsidRPr="00E33A9E">
        <w:rPr>
          <w:rFonts w:ascii="Arial" w:hAnsi="Arial" w:cs="Arial"/>
          <w:b/>
          <w:sz w:val="28"/>
        </w:rPr>
        <w:t>Week Eight (May 17</w:t>
      </w:r>
      <w:r w:rsidRPr="00E33A9E">
        <w:rPr>
          <w:rFonts w:ascii="Arial" w:hAnsi="Arial" w:cs="Arial"/>
          <w:sz w:val="28"/>
        </w:rPr>
        <w:t xml:space="preserve">) </w:t>
      </w:r>
    </w:p>
    <w:p w:rsidR="0002051E" w:rsidRPr="00382A00" w:rsidRDefault="0002051E" w:rsidP="00D67D6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Policy impact evaluation: M</w:t>
      </w:r>
      <w:r w:rsidRPr="00382A00">
        <w:rPr>
          <w:rFonts w:ascii="Arial" w:hAnsi="Arial" w:cs="Arial"/>
        </w:rPr>
        <w:t>ethods and applications</w:t>
      </w: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Pr="00382A00" w:rsidRDefault="0002051E" w:rsidP="00DC5C10">
      <w:pPr>
        <w:spacing w:after="120"/>
        <w:rPr>
          <w:rFonts w:ascii="Arial" w:hAnsi="Arial" w:cs="Arial"/>
          <w:b/>
        </w:rPr>
      </w:pPr>
      <w:r w:rsidRPr="00382A00">
        <w:rPr>
          <w:rFonts w:ascii="Arial" w:hAnsi="Arial" w:cs="Arial"/>
          <w:b/>
        </w:rPr>
        <w:t xml:space="preserve">Readings: </w:t>
      </w:r>
    </w:p>
    <w:p w:rsidR="0002051E" w:rsidRDefault="0002051E" w:rsidP="009D7872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From the listing below, each s</w:t>
      </w:r>
      <w:r w:rsidRPr="00382A00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 xml:space="preserve">will </w:t>
      </w:r>
      <w:r w:rsidRPr="00382A00">
        <w:rPr>
          <w:rFonts w:ascii="Arial" w:hAnsi="Arial" w:cs="Arial"/>
        </w:rPr>
        <w:t xml:space="preserve">choose one article </w:t>
      </w:r>
      <w:r>
        <w:rPr>
          <w:rFonts w:ascii="Arial" w:hAnsi="Arial" w:cs="Arial"/>
        </w:rPr>
        <w:t>(or 2 if desired) that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applies one major method used in policy and program evaluation research and lead a discussion of it (them).  We will coordinate the choices so that each of you discusses a different method.  </w:t>
      </w:r>
    </w:p>
    <w:p w:rsidR="0002051E" w:rsidRDefault="0002051E" w:rsidP="00D67D67">
      <w:pPr>
        <w:pStyle w:val="NormalWeb"/>
        <w:spacing w:before="0" w:beforeAutospacing="0" w:after="120" w:afterAutospacing="0"/>
        <w:ind w:left="288" w:hanging="288"/>
        <w:rPr>
          <w:rFonts w:ascii="Arial" w:hAnsi="Arial" w:cs="Arial"/>
          <w:sz w:val="24"/>
        </w:rPr>
      </w:pPr>
    </w:p>
    <w:p w:rsidR="0002051E" w:rsidRDefault="0002051E" w:rsidP="00D67D67">
      <w:pPr>
        <w:pStyle w:val="NormalWeb"/>
        <w:spacing w:before="0" w:beforeAutospacing="0" w:after="120" w:afterAutospacing="0"/>
        <w:ind w:left="288" w:hanging="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Trenholm et al. 2008. “Impacts of abstinence education on teen sexual activity, risk of pregnancy and risk of sexually transmitted diseases,” </w:t>
      </w:r>
      <w:r w:rsidRPr="00AB645C">
        <w:rPr>
          <w:rFonts w:ascii="Arial" w:hAnsi="Arial" w:cs="Arial"/>
          <w:i/>
          <w:iCs/>
          <w:sz w:val="24"/>
        </w:rPr>
        <w:t>Journal of Policy Analysis and Management</w:t>
      </w:r>
      <w:r>
        <w:rPr>
          <w:rFonts w:ascii="Arial" w:hAnsi="Arial" w:cs="Arial"/>
          <w:sz w:val="24"/>
        </w:rPr>
        <w:t xml:space="preserve"> pp. 255-276. (Experiment)</w:t>
      </w:r>
    </w:p>
    <w:p w:rsidR="0002051E" w:rsidRPr="00D83E94" w:rsidRDefault="0002051E" w:rsidP="00D67D67">
      <w:pPr>
        <w:spacing w:after="120"/>
        <w:ind w:left="288" w:hanging="2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D. </w:t>
      </w:r>
      <w:r w:rsidRPr="00D83E94">
        <w:rPr>
          <w:rFonts w:ascii="Arial" w:hAnsi="Arial" w:cs="Arial"/>
        </w:rPr>
        <w:t xml:space="preserve">Olds, </w:t>
      </w:r>
      <w:r>
        <w:rPr>
          <w:rFonts w:ascii="Arial" w:hAnsi="Arial" w:cs="Arial"/>
        </w:rPr>
        <w:t xml:space="preserve">H. </w:t>
      </w:r>
      <w:r w:rsidRPr="00D83E94">
        <w:rPr>
          <w:rFonts w:ascii="Arial" w:hAnsi="Arial" w:cs="Arial"/>
        </w:rPr>
        <w:t xml:space="preserve">Kitzman, et al. 2004. “Effects of Nurse Home-Visiting on Maternal Life Course and Child Development: Age 6 Follow-up Results of a </w:t>
      </w:r>
      <w:r w:rsidRPr="00D83E94">
        <w:rPr>
          <w:rFonts w:ascii="Arial" w:hAnsi="Arial" w:cs="Arial"/>
          <w:b/>
        </w:rPr>
        <w:t>Randomized Trial</w:t>
      </w:r>
      <w:r w:rsidRPr="00D83E94">
        <w:rPr>
          <w:rFonts w:ascii="Arial" w:hAnsi="Arial" w:cs="Arial"/>
        </w:rPr>
        <w:t xml:space="preserve">.” </w:t>
      </w:r>
      <w:r w:rsidRPr="00AB645C">
        <w:rPr>
          <w:rFonts w:ascii="Arial" w:hAnsi="Arial" w:cs="Arial"/>
          <w:i/>
          <w:iCs/>
        </w:rPr>
        <w:t>Pediatrics</w:t>
      </w:r>
      <w:r w:rsidRPr="00D83E94">
        <w:rPr>
          <w:rFonts w:ascii="Arial" w:hAnsi="Arial" w:cs="Arial"/>
          <w:i/>
          <w:iCs/>
        </w:rPr>
        <w:t xml:space="preserve"> </w:t>
      </w:r>
      <w:r w:rsidRPr="00D83E94">
        <w:rPr>
          <w:rFonts w:ascii="Arial" w:hAnsi="Arial" w:cs="Arial"/>
        </w:rPr>
        <w:t xml:space="preserve">114(6) pp. 1550–1559. </w:t>
      </w:r>
    </w:p>
    <w:p w:rsidR="0002051E" w:rsidRDefault="0002051E" w:rsidP="008E32D7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T. </w:t>
      </w:r>
      <w:r w:rsidRPr="00070782">
        <w:rPr>
          <w:rFonts w:ascii="Arial" w:hAnsi="Arial" w:cs="Arial"/>
        </w:rPr>
        <w:t xml:space="preserve">Barham and J. Maluccio. 2009. “Eradicating diseases: The effect of conditional cash transfers on vaccination coverage in rural Nicaragua,” </w:t>
      </w:r>
      <w:r w:rsidRPr="00070782">
        <w:rPr>
          <w:rStyle w:val="databold"/>
          <w:rFonts w:ascii="Arial" w:hAnsi="Arial" w:cs="Arial"/>
          <w:i/>
        </w:rPr>
        <w:t>Journal of Health Economics</w:t>
      </w:r>
      <w:r w:rsidRPr="00070782">
        <w:rPr>
          <w:rStyle w:val="databold"/>
          <w:rFonts w:ascii="Arial" w:hAnsi="Arial" w:cs="Arial"/>
        </w:rPr>
        <w:t xml:space="preserve"> 28(3)</w:t>
      </w:r>
      <w:r w:rsidRPr="00070782">
        <w:rPr>
          <w:rFonts w:ascii="Arial" w:hAnsi="Arial" w:cs="Arial"/>
        </w:rPr>
        <w:t xml:space="preserve"> pp. </w:t>
      </w:r>
      <w:r w:rsidRPr="00070782">
        <w:rPr>
          <w:rStyle w:val="databold"/>
          <w:rFonts w:ascii="Arial" w:hAnsi="Arial" w:cs="Arial"/>
        </w:rPr>
        <w:t>611-621.</w:t>
      </w:r>
      <w:r w:rsidRPr="00070782">
        <w:rPr>
          <w:rFonts w:ascii="Arial" w:hAnsi="Arial" w:cs="Arial"/>
        </w:rPr>
        <w:t xml:space="preserve"> </w:t>
      </w:r>
      <w:r w:rsidRPr="00382A00">
        <w:rPr>
          <w:rFonts w:ascii="Arial" w:hAnsi="Arial" w:cs="Arial"/>
        </w:rPr>
        <w:t>(Random assignment</w:t>
      </w:r>
      <w:r>
        <w:rPr>
          <w:rFonts w:ascii="Arial" w:hAnsi="Arial" w:cs="Arial"/>
        </w:rPr>
        <w:t>, if not discussed in week 4 or 5</w:t>
      </w:r>
      <w:r w:rsidRPr="00382A00">
        <w:rPr>
          <w:rFonts w:ascii="Arial" w:hAnsi="Arial" w:cs="Arial"/>
        </w:rPr>
        <w:t>)</w:t>
      </w:r>
    </w:p>
    <w:p w:rsidR="0002051E" w:rsidRDefault="0002051E" w:rsidP="00D67D67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S. Niu and M. Tienda (2010). The impact of the Texas top 10 percent law on college enrollment: A </w:t>
      </w:r>
      <w:r w:rsidRPr="00A41D9A">
        <w:rPr>
          <w:rFonts w:ascii="Arial" w:hAnsi="Arial" w:cs="Arial"/>
          <w:b/>
        </w:rPr>
        <w:t>regression discontinuity design</w:t>
      </w:r>
      <w:r>
        <w:rPr>
          <w:rFonts w:ascii="Arial" w:hAnsi="Arial" w:cs="Arial"/>
        </w:rPr>
        <w:t xml:space="preserve">.” </w:t>
      </w:r>
      <w:r w:rsidRPr="00382A00">
        <w:rPr>
          <w:rFonts w:ascii="Arial" w:hAnsi="Arial" w:cs="Arial"/>
          <w:i/>
        </w:rPr>
        <w:t>Journal of Policy Analysis and Management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29:4, pp. 84-110.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 xml:space="preserve">V. C. Wong, T.D. Cook, W.S. Barnett, and K. Jung (2008). “An Effectiveness-Based Evaluation of Five State Pre-Kindergarten Programs.”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27(1), 122-154. (Regression discontinuity)</w:t>
      </w:r>
    </w:p>
    <w:p w:rsidR="0002051E" w:rsidRPr="00C9200B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C9200B">
        <w:rPr>
          <w:rFonts w:ascii="Arial" w:hAnsi="Arial" w:cs="Arial"/>
          <w:color w:val="231F20"/>
        </w:rPr>
        <w:t>M</w:t>
      </w:r>
      <w:r>
        <w:rPr>
          <w:rFonts w:ascii="Arial" w:hAnsi="Arial" w:cs="Arial"/>
          <w:color w:val="231F20"/>
        </w:rPr>
        <w:t xml:space="preserve">. </w:t>
      </w:r>
      <w:r w:rsidRPr="00C9200B">
        <w:rPr>
          <w:rFonts w:ascii="Arial" w:hAnsi="Arial" w:cs="Arial"/>
          <w:color w:val="231F20"/>
        </w:rPr>
        <w:t>Bertrand</w:t>
      </w:r>
      <w:r>
        <w:rPr>
          <w:rFonts w:ascii="Arial" w:hAnsi="Arial" w:cs="Arial"/>
          <w:color w:val="231F20"/>
        </w:rPr>
        <w:t>,</w:t>
      </w:r>
      <w:r w:rsidRPr="00C9200B">
        <w:rPr>
          <w:rFonts w:ascii="Arial" w:hAnsi="Arial" w:cs="Arial"/>
          <w:color w:val="231F20"/>
        </w:rPr>
        <w:t xml:space="preserve"> R</w:t>
      </w:r>
      <w:r>
        <w:rPr>
          <w:rFonts w:ascii="Arial" w:hAnsi="Arial" w:cs="Arial"/>
          <w:color w:val="231F20"/>
        </w:rPr>
        <w:t>.</w:t>
      </w:r>
      <w:r w:rsidRPr="00C9200B">
        <w:rPr>
          <w:rFonts w:ascii="Arial" w:hAnsi="Arial" w:cs="Arial"/>
          <w:color w:val="231F20"/>
        </w:rPr>
        <w:t xml:space="preserve"> Hanna</w:t>
      </w:r>
      <w:r>
        <w:rPr>
          <w:rFonts w:ascii="Arial" w:hAnsi="Arial" w:cs="Arial"/>
          <w:color w:val="231F20"/>
        </w:rPr>
        <w:t xml:space="preserve"> and</w:t>
      </w:r>
      <w:r w:rsidRPr="00C9200B">
        <w:rPr>
          <w:rFonts w:ascii="Arial" w:hAnsi="Arial" w:cs="Arial"/>
          <w:color w:val="231F20"/>
        </w:rPr>
        <w:t xml:space="preserve"> S</w:t>
      </w:r>
      <w:r>
        <w:rPr>
          <w:rFonts w:ascii="Arial" w:hAnsi="Arial" w:cs="Arial"/>
          <w:color w:val="231F20"/>
        </w:rPr>
        <w:t>.</w:t>
      </w:r>
      <w:r w:rsidRPr="00C9200B">
        <w:rPr>
          <w:rFonts w:ascii="Arial" w:hAnsi="Arial" w:cs="Arial"/>
          <w:color w:val="231F20"/>
        </w:rPr>
        <w:t xml:space="preserve"> Mullainathan </w:t>
      </w:r>
      <w:r>
        <w:rPr>
          <w:rFonts w:ascii="Arial" w:hAnsi="Arial" w:cs="Arial"/>
          <w:color w:val="231F20"/>
        </w:rPr>
        <w:t>(2010). “</w:t>
      </w:r>
      <w:r w:rsidRPr="00C9200B">
        <w:rPr>
          <w:rFonts w:ascii="Arial" w:hAnsi="Arial" w:cs="Arial"/>
          <w:color w:val="231F20"/>
        </w:rPr>
        <w:t>Affirmative action in education: Evidence from engineering college admissions in India,</w:t>
      </w:r>
      <w:r>
        <w:rPr>
          <w:rFonts w:ascii="Arial" w:hAnsi="Arial" w:cs="Arial"/>
          <w:color w:val="231F20"/>
        </w:rPr>
        <w:t>”</w:t>
      </w:r>
      <w:r w:rsidRPr="00C9200B">
        <w:rPr>
          <w:rFonts w:ascii="Arial" w:hAnsi="Arial" w:cs="Arial"/>
          <w:color w:val="231F20"/>
        </w:rPr>
        <w:t xml:space="preserve"> </w:t>
      </w:r>
      <w:r w:rsidRPr="00C9200B">
        <w:rPr>
          <w:rFonts w:ascii="Arial" w:hAnsi="Arial" w:cs="Arial"/>
          <w:i/>
          <w:color w:val="231F20"/>
        </w:rPr>
        <w:t>Journal of Public Economics</w:t>
      </w:r>
      <w:r w:rsidRPr="00C9200B">
        <w:rPr>
          <w:rFonts w:ascii="Arial" w:hAnsi="Arial" w:cs="Arial"/>
          <w:color w:val="231F20"/>
        </w:rPr>
        <w:t xml:space="preserve"> 94 (2010) 16–29</w:t>
      </w:r>
      <w:r>
        <w:rPr>
          <w:rFonts w:ascii="Arial" w:hAnsi="Arial" w:cs="Arial"/>
          <w:color w:val="231F20"/>
        </w:rPr>
        <w:t xml:space="preserve">. </w:t>
      </w:r>
      <w:r w:rsidRPr="00382A00">
        <w:rPr>
          <w:rFonts w:ascii="Arial" w:hAnsi="Arial" w:cs="Arial"/>
        </w:rPr>
        <w:t>(Regression discontinuity)</w:t>
      </w:r>
    </w:p>
    <w:p w:rsidR="0002051E" w:rsidRPr="00D83E94" w:rsidRDefault="0002051E" w:rsidP="00D67D67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Pr="00D83E94">
        <w:rPr>
          <w:rFonts w:ascii="Arial" w:hAnsi="Arial" w:cs="Arial"/>
        </w:rPr>
        <w:t xml:space="preserve">Ludwig </w:t>
      </w:r>
      <w:r>
        <w:rPr>
          <w:rFonts w:ascii="Arial" w:hAnsi="Arial" w:cs="Arial"/>
        </w:rPr>
        <w:t>and</w:t>
      </w:r>
      <w:r w:rsidRPr="00D83E94">
        <w:rPr>
          <w:rFonts w:ascii="Arial" w:hAnsi="Arial" w:cs="Arial"/>
        </w:rPr>
        <w:t xml:space="preserve"> D. Miller. 2007. “Does Head Start Improve Children’s Life Chances? Evidence from a </w:t>
      </w:r>
      <w:r w:rsidRPr="00D83E94">
        <w:rPr>
          <w:rFonts w:ascii="Arial" w:hAnsi="Arial" w:cs="Arial"/>
          <w:b/>
        </w:rPr>
        <w:t>Regression-Discontinuity</w:t>
      </w:r>
      <w:r w:rsidRPr="00D83E94">
        <w:rPr>
          <w:rFonts w:ascii="Arial" w:hAnsi="Arial" w:cs="Arial"/>
        </w:rPr>
        <w:t xml:space="preserve"> Design.” </w:t>
      </w:r>
      <w:r w:rsidRPr="00AB645C">
        <w:rPr>
          <w:rFonts w:ascii="Arial" w:hAnsi="Arial" w:cs="Arial"/>
          <w:i/>
          <w:iCs/>
        </w:rPr>
        <w:t>Quarterly Journal of Economics</w:t>
      </w:r>
      <w:r w:rsidRPr="00D83E94">
        <w:rPr>
          <w:rFonts w:ascii="Arial" w:hAnsi="Arial" w:cs="Arial"/>
          <w:i/>
          <w:iCs/>
        </w:rPr>
        <w:t xml:space="preserve"> </w:t>
      </w:r>
      <w:r w:rsidRPr="00D83E94">
        <w:rPr>
          <w:rFonts w:ascii="Arial" w:hAnsi="Arial" w:cs="Arial"/>
        </w:rPr>
        <w:t xml:space="preserve">122(1) pp. 159–208. </w:t>
      </w:r>
    </w:p>
    <w:p w:rsidR="0002051E" w:rsidRDefault="0002051E" w:rsidP="008E32D7">
      <w:pPr>
        <w:spacing w:after="120"/>
        <w:ind w:left="288" w:hanging="288"/>
        <w:rPr>
          <w:rFonts w:ascii="Arial" w:hAnsi="Arial" w:cs="Arial"/>
        </w:rPr>
      </w:pPr>
      <w:r w:rsidRPr="00761F47">
        <w:rPr>
          <w:rFonts w:ascii="Arial" w:hAnsi="Arial" w:cs="Arial"/>
          <w:color w:val="000000"/>
        </w:rPr>
        <w:t xml:space="preserve">W. Dobbie and R. Fryer. Forthcoming. “Are High-Quality Schools Enough to Close the Achievement Gap? Evidence from a Bold Social Experiment in Harlem,” </w:t>
      </w:r>
      <w:r w:rsidRPr="00761F47">
        <w:rPr>
          <w:rFonts w:ascii="Arial" w:hAnsi="Arial" w:cs="Arial"/>
          <w:i/>
          <w:color w:val="000000"/>
        </w:rPr>
        <w:t>American Economic Journal: Applied Economics</w:t>
      </w:r>
      <w:r w:rsidRPr="00761F47">
        <w:rPr>
          <w:rFonts w:ascii="Arial" w:hAnsi="Arial" w:cs="Arial"/>
          <w:color w:val="000000"/>
        </w:rPr>
        <w:t xml:space="preserve"> </w:t>
      </w:r>
      <w:r w:rsidRPr="00761F47">
        <w:rPr>
          <w:rFonts w:ascii="Arial" w:hAnsi="Arial" w:cs="Arial"/>
        </w:rPr>
        <w:t>(Instrumental variables and random assignment)</w:t>
      </w:r>
    </w:p>
    <w:p w:rsidR="0002051E" w:rsidRDefault="0002051E" w:rsidP="008E32D7">
      <w:pPr>
        <w:spacing w:after="120"/>
        <w:ind w:left="288" w:hanging="288"/>
        <w:rPr>
          <w:rFonts w:ascii="Arial" w:hAnsi="Arial" w:cs="Arial"/>
        </w:rPr>
      </w:pPr>
      <w:r w:rsidRPr="00761F47">
        <w:rPr>
          <w:rFonts w:ascii="Arial" w:hAnsi="Arial" w:cs="Arial"/>
          <w:color w:val="000000"/>
        </w:rPr>
        <w:t>J. Steele, R. Murnane and J. Willett (2010). “Do financial incentives help low-performing schools attract and keep academically talented teachers? Evidence from California.</w:t>
      </w:r>
      <w:r w:rsidRPr="00761F47">
        <w:rPr>
          <w:rFonts w:ascii="Arial" w:hAnsi="Arial" w:cs="Arial"/>
        </w:rPr>
        <w:t xml:space="preserve"> </w:t>
      </w:r>
      <w:r w:rsidRPr="00761F47">
        <w:rPr>
          <w:rFonts w:ascii="Arial" w:hAnsi="Arial" w:cs="Arial"/>
          <w:i/>
        </w:rPr>
        <w:t>Journal of Policy Analysis and Management</w:t>
      </w:r>
      <w:r w:rsidRPr="00761F47">
        <w:rPr>
          <w:rFonts w:ascii="Arial" w:hAnsi="Arial" w:cs="Arial"/>
        </w:rPr>
        <w:t xml:space="preserve"> 29(3), pp. 451-478. (Instrumental variables)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>J. Cannon, A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Jacknowitz and G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Painter (2006). “Is Full Better than Half? Examining the Longitudinal Effects of Full-day Kindergarten Attendance.” </w:t>
      </w:r>
      <w:r w:rsidRPr="00382A00">
        <w:rPr>
          <w:rFonts w:ascii="Arial" w:hAnsi="Arial" w:cs="Arial"/>
          <w:i/>
        </w:rPr>
        <w:t>Journal of Policy Analysis and Management</w:t>
      </w:r>
      <w:r w:rsidRPr="00382A00">
        <w:rPr>
          <w:rFonts w:ascii="Arial" w:hAnsi="Arial" w:cs="Arial"/>
        </w:rPr>
        <w:t xml:space="preserve"> 25 (2), 299-321. (Pre-test and post-test with controls)</w:t>
      </w:r>
    </w:p>
    <w:p w:rsidR="0002051E" w:rsidRDefault="0002051E" w:rsidP="00D67D67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382A00">
        <w:rPr>
          <w:rFonts w:ascii="Arial" w:hAnsi="Arial" w:cs="Arial"/>
        </w:rPr>
        <w:t xml:space="preserve"> Long and M</w:t>
      </w:r>
      <w:r>
        <w:rPr>
          <w:rFonts w:ascii="Arial" w:hAnsi="Arial" w:cs="Arial"/>
        </w:rPr>
        <w:t>.</w:t>
      </w:r>
      <w:r w:rsidRPr="00382A00">
        <w:rPr>
          <w:rFonts w:ascii="Arial" w:hAnsi="Arial" w:cs="Arial"/>
        </w:rPr>
        <w:t xml:space="preserve"> Kurlaender (2009).  “Do Community Colleges Provide a Viable Pathway to a Baccalaureate Degree?” </w:t>
      </w:r>
      <w:r w:rsidRPr="00382A00">
        <w:rPr>
          <w:rFonts w:ascii="Arial" w:hAnsi="Arial" w:cs="Arial"/>
          <w:i/>
        </w:rPr>
        <w:t>Educational Evaluation and Policy Analysis</w:t>
      </w:r>
      <w:r w:rsidRPr="00382A00">
        <w:rPr>
          <w:rFonts w:ascii="Arial" w:hAnsi="Arial" w:cs="Arial"/>
        </w:rPr>
        <w:t xml:space="preserve"> 31(1), 30-53.  (Post-test with comparison group and several selection control strategies.)</w:t>
      </w:r>
    </w:p>
    <w:p w:rsidR="0002051E" w:rsidRDefault="0002051E" w:rsidP="007B5B12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S. Hamersma. 2008. “The effects of an employer subsidy on employment outcomes: A study of the work opportunity and welfare-to-work tax credits,” </w:t>
      </w:r>
      <w:r>
        <w:rPr>
          <w:rFonts w:ascii="Arial" w:hAnsi="Arial" w:cs="Arial"/>
          <w:i/>
        </w:rPr>
        <w:t>Journal of Policy Analysis and</w:t>
      </w:r>
      <w:r w:rsidRPr="00382A00">
        <w:rPr>
          <w:rFonts w:ascii="Arial" w:hAnsi="Arial" w:cs="Arial"/>
          <w:i/>
        </w:rPr>
        <w:t xml:space="preserve"> Management</w:t>
      </w:r>
      <w:r>
        <w:rPr>
          <w:rFonts w:ascii="Arial" w:hAnsi="Arial" w:cs="Arial"/>
          <w:i/>
        </w:rPr>
        <w:t xml:space="preserve"> </w:t>
      </w:r>
      <w:r w:rsidRPr="006A256F">
        <w:rPr>
          <w:rFonts w:ascii="Arial" w:hAnsi="Arial" w:cs="Arial"/>
        </w:rPr>
        <w:t>27(3) pp. 498-520.</w:t>
      </w:r>
      <w:r>
        <w:rPr>
          <w:rFonts w:ascii="Arial" w:hAnsi="Arial" w:cs="Arial"/>
        </w:rPr>
        <w:t xml:space="preserve"> (Propensity score, if not discussed in week 4 or 5)</w:t>
      </w:r>
    </w:p>
    <w:p w:rsidR="0002051E" w:rsidRPr="007B5B12" w:rsidRDefault="0002051E" w:rsidP="001218C5">
      <w:pPr>
        <w:spacing w:after="120"/>
        <w:ind w:left="288" w:hanging="288"/>
        <w:rPr>
          <w:rStyle w:val="databold1"/>
          <w:rFonts w:ascii="Arial" w:hAnsi="Arial" w:cs="Arial"/>
        </w:rPr>
      </w:pPr>
      <w:r>
        <w:rPr>
          <w:rFonts w:ascii="Arial" w:hAnsi="Arial" w:cs="Arial"/>
        </w:rPr>
        <w:t xml:space="preserve">O. </w:t>
      </w:r>
      <w:r w:rsidRPr="007B5B12">
        <w:rPr>
          <w:rFonts w:ascii="Arial" w:hAnsi="Arial" w:cs="Arial"/>
        </w:rPr>
        <w:t>Korkeamaki O</w:t>
      </w:r>
      <w:r>
        <w:rPr>
          <w:rFonts w:ascii="Arial" w:hAnsi="Arial" w:cs="Arial"/>
        </w:rPr>
        <w:t xml:space="preserve"> and R.</w:t>
      </w:r>
      <w:r w:rsidRPr="007B5B12">
        <w:rPr>
          <w:rFonts w:ascii="Arial" w:hAnsi="Arial" w:cs="Arial"/>
        </w:rPr>
        <w:t xml:space="preserve"> Uusitalo (2009). “Employment and wage effects of a payroll-tax cut-evidence from a regional experiment,”</w:t>
      </w:r>
      <w:r>
        <w:rPr>
          <w:rFonts w:ascii="Arial" w:hAnsi="Arial" w:cs="Arial"/>
        </w:rPr>
        <w:t xml:space="preserve"> </w:t>
      </w:r>
      <w:r w:rsidRPr="001218C5">
        <w:rPr>
          <w:rFonts w:ascii="Arial" w:hAnsi="Arial" w:cs="Arial"/>
          <w:i/>
        </w:rPr>
        <w:t>International Tax and Public Finance</w:t>
      </w:r>
      <w:r w:rsidRPr="007B5B12">
        <w:rPr>
          <w:rFonts w:ascii="Arial" w:hAnsi="Arial" w:cs="Arial"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16(6)</w:t>
      </w:r>
      <w:r>
        <w:rPr>
          <w:rStyle w:val="databold1"/>
          <w:rFonts w:ascii="Arial" w:hAnsi="Arial" w:cs="Arial"/>
          <w:b w:val="0"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pp.</w:t>
      </w:r>
      <w:r w:rsidRPr="007B5B12">
        <w:rPr>
          <w:rFonts w:ascii="Arial" w:hAnsi="Arial" w:cs="Arial"/>
          <w:b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753-772</w:t>
      </w:r>
      <w:r w:rsidRPr="007B5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(propensity score)</w:t>
      </w:r>
    </w:p>
    <w:p w:rsidR="0002051E" w:rsidRDefault="0002051E" w:rsidP="00D959F6">
      <w:pPr>
        <w:spacing w:after="120"/>
        <w:ind w:left="288" w:hanging="288"/>
        <w:rPr>
          <w:rFonts w:ascii="Arial" w:hAnsi="Arial" w:cs="Arial"/>
        </w:rPr>
      </w:pPr>
      <w:r w:rsidRPr="00761F47">
        <w:rPr>
          <w:rFonts w:ascii="Arial" w:hAnsi="Arial" w:cs="Arial"/>
          <w:color w:val="000000"/>
        </w:rPr>
        <w:t xml:space="preserve">M. Caliendo and S. Künn. (2011) “Start-up subsidies for the unemployed: Long-term evidence and effect heterogeneity,” </w:t>
      </w:r>
      <w:r w:rsidRPr="00761F47">
        <w:rPr>
          <w:rFonts w:ascii="Arial" w:hAnsi="Arial" w:cs="Arial"/>
          <w:i/>
          <w:color w:val="000000"/>
        </w:rPr>
        <w:t>Journal of Public Economics</w:t>
      </w:r>
      <w:r w:rsidRPr="00761F47">
        <w:rPr>
          <w:rFonts w:ascii="Arial" w:hAnsi="Arial" w:cs="Arial"/>
          <w:color w:val="000000"/>
        </w:rPr>
        <w:t xml:space="preserve"> 95: 311-331</w:t>
      </w:r>
      <w:r w:rsidRPr="00761F47">
        <w:rPr>
          <w:rFonts w:ascii="Arial" w:hAnsi="Arial" w:cs="Arial"/>
        </w:rPr>
        <w:t xml:space="preserve"> (Propensity score).</w:t>
      </w:r>
    </w:p>
    <w:p w:rsidR="0002051E" w:rsidRPr="007B5B12" w:rsidRDefault="0002051E" w:rsidP="007B5B12">
      <w:pPr>
        <w:spacing w:after="12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K. Mullan</w:t>
      </w:r>
      <w:r w:rsidRPr="007B5B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A. </w:t>
      </w:r>
      <w:r w:rsidRPr="007B5B12">
        <w:rPr>
          <w:rFonts w:ascii="Arial" w:hAnsi="Arial" w:cs="Arial"/>
        </w:rPr>
        <w:t xml:space="preserve">Kontoleon, et al., (2010). </w:t>
      </w:r>
      <w:r>
        <w:rPr>
          <w:rFonts w:ascii="Arial" w:hAnsi="Arial" w:cs="Arial"/>
        </w:rPr>
        <w:t>“</w:t>
      </w:r>
      <w:r w:rsidRPr="007B5B12">
        <w:rPr>
          <w:rFonts w:ascii="Arial" w:hAnsi="Arial" w:cs="Arial"/>
        </w:rPr>
        <w:t>Evaluation of the Impact of the Natural Forest Protection Program on Rural Household Livelihoods</w:t>
      </w:r>
      <w:r>
        <w:rPr>
          <w:rFonts w:ascii="Arial" w:hAnsi="Arial" w:cs="Arial"/>
        </w:rPr>
        <w:t xml:space="preserve">,” </w:t>
      </w:r>
      <w:r w:rsidRPr="007B5B12">
        <w:rPr>
          <w:rFonts w:ascii="Arial" w:hAnsi="Arial" w:cs="Arial"/>
          <w:i/>
        </w:rPr>
        <w:t>Environmental Management</w:t>
      </w:r>
      <w:r w:rsidRPr="007B5B12">
        <w:rPr>
          <w:rFonts w:ascii="Arial" w:hAnsi="Arial" w:cs="Arial"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45(3)</w:t>
      </w:r>
      <w:r>
        <w:rPr>
          <w:rFonts w:ascii="Arial" w:hAnsi="Arial" w:cs="Arial"/>
        </w:rPr>
        <w:t xml:space="preserve"> pp. </w:t>
      </w:r>
      <w:r w:rsidRPr="007B5B12">
        <w:rPr>
          <w:rStyle w:val="databold1"/>
          <w:rFonts w:ascii="Arial" w:hAnsi="Arial" w:cs="Arial"/>
          <w:b w:val="0"/>
        </w:rPr>
        <w:t>513-525</w:t>
      </w:r>
      <w:r w:rsidRPr="007B5B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(D-in-D, propensity score)</w:t>
      </w:r>
    </w:p>
    <w:p w:rsidR="0002051E" w:rsidRPr="007B5B12" w:rsidRDefault="0002051E" w:rsidP="007B5B12">
      <w:pPr>
        <w:spacing w:after="120"/>
        <w:ind w:left="288" w:hanging="288"/>
        <w:rPr>
          <w:rStyle w:val="databold1"/>
          <w:rFonts w:ascii="Arial" w:hAnsi="Arial" w:cs="Arial"/>
        </w:rPr>
      </w:pPr>
      <w:r>
        <w:rPr>
          <w:rFonts w:ascii="Arial" w:hAnsi="Arial" w:cs="Arial"/>
        </w:rPr>
        <w:t xml:space="preserve">P. </w:t>
      </w:r>
      <w:r w:rsidRPr="007B5B12">
        <w:rPr>
          <w:rFonts w:ascii="Arial" w:hAnsi="Arial" w:cs="Arial"/>
        </w:rPr>
        <w:t>Morgan</w:t>
      </w:r>
      <w:r>
        <w:rPr>
          <w:rFonts w:ascii="Arial" w:hAnsi="Arial" w:cs="Arial"/>
        </w:rPr>
        <w:t xml:space="preserve"> et al.</w:t>
      </w:r>
      <w:r w:rsidRPr="007B5B12">
        <w:rPr>
          <w:rFonts w:ascii="Arial" w:hAnsi="Arial" w:cs="Arial"/>
        </w:rPr>
        <w:t xml:space="preserve"> (2010). “A</w:t>
      </w:r>
      <w:r>
        <w:rPr>
          <w:rFonts w:ascii="Arial" w:hAnsi="Arial" w:cs="Arial"/>
        </w:rPr>
        <w:t xml:space="preserve"> Propensity Score</w:t>
      </w:r>
      <w:r w:rsidRPr="007B5B12">
        <w:rPr>
          <w:rFonts w:ascii="Arial" w:hAnsi="Arial" w:cs="Arial"/>
        </w:rPr>
        <w:t xml:space="preserve"> Matching Analysis of the Effects of Special Education Services,</w:t>
      </w:r>
      <w:r>
        <w:rPr>
          <w:rFonts w:ascii="Arial" w:hAnsi="Arial" w:cs="Arial"/>
        </w:rPr>
        <w:t xml:space="preserve">” </w:t>
      </w:r>
      <w:r w:rsidRPr="007B5B12">
        <w:rPr>
          <w:rFonts w:ascii="Arial" w:hAnsi="Arial" w:cs="Arial"/>
          <w:i/>
        </w:rPr>
        <w:t>Journal of Special Education</w:t>
      </w:r>
      <w:r>
        <w:rPr>
          <w:rFonts w:ascii="Arial" w:hAnsi="Arial" w:cs="Arial"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43(4) pp.</w:t>
      </w:r>
      <w:r w:rsidRPr="007B5B12">
        <w:rPr>
          <w:rFonts w:ascii="Arial" w:hAnsi="Arial" w:cs="Arial"/>
          <w:b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236-254</w:t>
      </w:r>
      <w:r w:rsidRPr="007B5B12">
        <w:rPr>
          <w:rFonts w:ascii="Arial" w:hAnsi="Arial" w:cs="Arial"/>
          <w:b/>
        </w:rPr>
        <w:t>.</w:t>
      </w:r>
      <w:r w:rsidRPr="007B5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(propensity score)</w:t>
      </w:r>
    </w:p>
    <w:p w:rsidR="0002051E" w:rsidRPr="007B5B12" w:rsidRDefault="0002051E" w:rsidP="007B5B12">
      <w:pPr>
        <w:spacing w:after="120"/>
        <w:ind w:left="288" w:hanging="288"/>
        <w:rPr>
          <w:rStyle w:val="databold1"/>
          <w:rFonts w:ascii="Arial" w:hAnsi="Arial" w:cs="Arial"/>
        </w:rPr>
      </w:pPr>
      <w:r>
        <w:rPr>
          <w:rFonts w:ascii="Arial" w:hAnsi="Arial" w:cs="Arial"/>
        </w:rPr>
        <w:t xml:space="preserve">S. </w:t>
      </w:r>
      <w:r w:rsidRPr="007B5B12">
        <w:rPr>
          <w:rFonts w:ascii="Arial" w:hAnsi="Arial" w:cs="Arial"/>
        </w:rPr>
        <w:t>Chen</w:t>
      </w:r>
      <w:r>
        <w:rPr>
          <w:rFonts w:ascii="Arial" w:hAnsi="Arial" w:cs="Arial"/>
        </w:rPr>
        <w:t>,</w:t>
      </w:r>
      <w:r w:rsidRPr="007B5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Pr="007B5B12">
        <w:rPr>
          <w:rFonts w:ascii="Arial" w:hAnsi="Arial" w:cs="Arial"/>
        </w:rPr>
        <w:t xml:space="preserve">Mu </w:t>
      </w:r>
      <w:r>
        <w:rPr>
          <w:rFonts w:ascii="Arial" w:hAnsi="Arial" w:cs="Arial"/>
        </w:rPr>
        <w:t xml:space="preserve">and M. </w:t>
      </w:r>
      <w:r w:rsidRPr="007B5B12">
        <w:rPr>
          <w:rFonts w:ascii="Arial" w:hAnsi="Arial" w:cs="Arial"/>
        </w:rPr>
        <w:t xml:space="preserve">Ravallion (2009). “Are there lasting impacts of aid to poor areas?,” </w:t>
      </w:r>
      <w:r w:rsidRPr="007B5B12">
        <w:rPr>
          <w:rFonts w:ascii="Arial" w:hAnsi="Arial" w:cs="Arial"/>
          <w:i/>
        </w:rPr>
        <w:t xml:space="preserve">Journal of </w:t>
      </w:r>
      <w:r>
        <w:rPr>
          <w:rFonts w:ascii="Arial" w:hAnsi="Arial" w:cs="Arial"/>
          <w:i/>
        </w:rPr>
        <w:t>Public</w:t>
      </w:r>
      <w:r w:rsidRPr="007B5B12">
        <w:rPr>
          <w:rFonts w:ascii="Arial" w:hAnsi="Arial" w:cs="Arial"/>
          <w:i/>
        </w:rPr>
        <w:t xml:space="preserve"> Economics</w:t>
      </w:r>
      <w:r w:rsidRPr="007B5B12">
        <w:rPr>
          <w:rStyle w:val="databold1"/>
          <w:rFonts w:ascii="Arial" w:hAnsi="Arial" w:cs="Arial"/>
        </w:rPr>
        <w:t xml:space="preserve"> </w:t>
      </w:r>
      <w:r w:rsidRPr="007B5B12">
        <w:rPr>
          <w:rStyle w:val="databold1"/>
          <w:rFonts w:ascii="Arial" w:hAnsi="Arial" w:cs="Arial"/>
          <w:b w:val="0"/>
        </w:rPr>
        <w:t>93</w:t>
      </w:r>
      <w:r w:rsidRPr="007B5B12">
        <w:rPr>
          <w:rFonts w:ascii="Arial" w:hAnsi="Arial" w:cs="Arial"/>
          <w:b/>
        </w:rPr>
        <w:t>(</w:t>
      </w:r>
      <w:r w:rsidRPr="007B5B12">
        <w:rPr>
          <w:rStyle w:val="databold1"/>
          <w:rFonts w:ascii="Arial" w:hAnsi="Arial" w:cs="Arial"/>
          <w:b w:val="0"/>
        </w:rPr>
        <w:t>3-4)</w:t>
      </w:r>
      <w:r w:rsidRPr="007B5B12">
        <w:rPr>
          <w:rFonts w:ascii="Arial" w:hAnsi="Arial" w:cs="Arial"/>
        </w:rPr>
        <w:t xml:space="preserve"> pp. </w:t>
      </w:r>
      <w:r w:rsidRPr="007B5B12">
        <w:rPr>
          <w:rStyle w:val="databold1"/>
          <w:rFonts w:ascii="Arial" w:hAnsi="Arial" w:cs="Arial"/>
          <w:b w:val="0"/>
        </w:rPr>
        <w:t>512-528</w:t>
      </w:r>
      <w:r>
        <w:rPr>
          <w:rStyle w:val="databold1"/>
          <w:rFonts w:ascii="Arial" w:hAnsi="Arial" w:cs="Arial"/>
          <w:b w:val="0"/>
        </w:rPr>
        <w:t xml:space="preserve">. </w:t>
      </w:r>
      <w:r>
        <w:rPr>
          <w:rFonts w:ascii="Arial" w:hAnsi="Arial" w:cs="Arial"/>
        </w:rPr>
        <w:t>(D-in-D, propensity score)</w:t>
      </w:r>
    </w:p>
    <w:p w:rsidR="0002051E" w:rsidRPr="007B5B12" w:rsidRDefault="0002051E" w:rsidP="007B5B12">
      <w:pPr>
        <w:spacing w:after="120"/>
        <w:ind w:left="288" w:hanging="288"/>
        <w:rPr>
          <w:rStyle w:val="databold1"/>
          <w:rFonts w:ascii="Arial" w:hAnsi="Arial" w:cs="Arial"/>
        </w:rPr>
      </w:pPr>
      <w:r>
        <w:rPr>
          <w:rFonts w:ascii="Arial" w:hAnsi="Arial" w:cs="Arial"/>
        </w:rPr>
        <w:t xml:space="preserve">M. </w:t>
      </w:r>
      <w:r w:rsidRPr="007B5B12">
        <w:rPr>
          <w:rFonts w:ascii="Arial" w:hAnsi="Arial" w:cs="Arial"/>
        </w:rPr>
        <w:t>Johar (2009). “The impact of the Indonesian health card program: A matching estimator approach,”</w:t>
      </w:r>
      <w:r>
        <w:rPr>
          <w:rFonts w:ascii="Arial" w:hAnsi="Arial" w:cs="Arial"/>
        </w:rPr>
        <w:t xml:space="preserve"> </w:t>
      </w:r>
      <w:r w:rsidRPr="007B5B12">
        <w:rPr>
          <w:rFonts w:ascii="Arial" w:hAnsi="Arial" w:cs="Arial"/>
          <w:i/>
        </w:rPr>
        <w:t>Journal of Health Economics</w:t>
      </w:r>
      <w:r w:rsidRPr="007B5B12">
        <w:rPr>
          <w:rFonts w:ascii="Arial" w:hAnsi="Arial" w:cs="Arial"/>
        </w:rPr>
        <w:t xml:space="preserve">. </w:t>
      </w:r>
      <w:r w:rsidRPr="007B5B12">
        <w:rPr>
          <w:rStyle w:val="databold1"/>
          <w:rFonts w:ascii="Arial" w:hAnsi="Arial" w:cs="Arial"/>
          <w:b w:val="0"/>
        </w:rPr>
        <w:t>28</w:t>
      </w:r>
      <w:r w:rsidRPr="007B5B12">
        <w:rPr>
          <w:rFonts w:ascii="Arial" w:hAnsi="Arial" w:cs="Arial"/>
          <w:b/>
        </w:rPr>
        <w:t>(</w:t>
      </w:r>
      <w:r w:rsidRPr="007B5B12">
        <w:rPr>
          <w:rStyle w:val="databold1"/>
          <w:rFonts w:ascii="Arial" w:hAnsi="Arial" w:cs="Arial"/>
          <w:b w:val="0"/>
        </w:rPr>
        <w:t>1)</w:t>
      </w:r>
      <w:r w:rsidRPr="007B5B12">
        <w:rPr>
          <w:rFonts w:ascii="Arial" w:hAnsi="Arial" w:cs="Arial"/>
        </w:rPr>
        <w:t xml:space="preserve"> pp. </w:t>
      </w:r>
      <w:r w:rsidRPr="007B5B12">
        <w:rPr>
          <w:rStyle w:val="databold1"/>
          <w:rFonts w:ascii="Arial" w:hAnsi="Arial" w:cs="Arial"/>
          <w:b w:val="0"/>
        </w:rPr>
        <w:t>35-53</w:t>
      </w:r>
      <w:r>
        <w:rPr>
          <w:rStyle w:val="databold1"/>
          <w:rFonts w:ascii="Arial" w:hAnsi="Arial" w:cs="Arial"/>
          <w:b w:val="0"/>
        </w:rPr>
        <w:t>.</w:t>
      </w:r>
      <w:r w:rsidRPr="00121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(propensity score)</w:t>
      </w: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Pr="003E3778" w:rsidRDefault="0002051E" w:rsidP="00995779">
      <w:pPr>
        <w:rPr>
          <w:rFonts w:ascii="Arial" w:hAnsi="Arial" w:cs="Arial"/>
          <w:b/>
          <w:sz w:val="28"/>
        </w:rPr>
      </w:pPr>
      <w:r w:rsidRPr="003E3778">
        <w:rPr>
          <w:rFonts w:ascii="Arial" w:hAnsi="Arial" w:cs="Arial"/>
          <w:b/>
          <w:sz w:val="28"/>
        </w:rPr>
        <w:t>Week Nine (May 2</w:t>
      </w:r>
      <w:r>
        <w:rPr>
          <w:rFonts w:ascii="Arial" w:hAnsi="Arial" w:cs="Arial"/>
          <w:b/>
          <w:sz w:val="28"/>
        </w:rPr>
        <w:t>4</w:t>
      </w:r>
      <w:r w:rsidRPr="003E3778">
        <w:rPr>
          <w:rFonts w:ascii="Arial" w:hAnsi="Arial" w:cs="Arial"/>
          <w:b/>
          <w:sz w:val="28"/>
        </w:rPr>
        <w:t>)</w:t>
      </w:r>
    </w:p>
    <w:p w:rsidR="0002051E" w:rsidRPr="00382A00" w:rsidRDefault="0002051E" w:rsidP="00995779">
      <w:pPr>
        <w:ind w:left="288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382A00">
        <w:rPr>
          <w:rFonts w:ascii="Arial" w:hAnsi="Arial" w:cs="Arial"/>
        </w:rPr>
        <w:t xml:space="preserve">olicy adoption &amp; implementation from the modified rationalist perspective; cost-benefit </w:t>
      </w:r>
      <w:r>
        <w:rPr>
          <w:rFonts w:ascii="Arial" w:hAnsi="Arial" w:cs="Arial"/>
        </w:rPr>
        <w:t>and cost-effectiveness analysis</w:t>
      </w:r>
      <w:r w:rsidRPr="00382A00">
        <w:rPr>
          <w:rFonts w:ascii="Arial" w:hAnsi="Arial" w:cs="Arial"/>
        </w:rPr>
        <w:t>.</w:t>
      </w:r>
    </w:p>
    <w:p w:rsidR="0002051E" w:rsidRDefault="0002051E" w:rsidP="00995779">
      <w:pPr>
        <w:rPr>
          <w:rFonts w:ascii="Arial" w:hAnsi="Arial" w:cs="Arial"/>
          <w:b/>
          <w:sz w:val="28"/>
        </w:rPr>
      </w:pPr>
    </w:p>
    <w:p w:rsidR="0002051E" w:rsidRPr="00382A00" w:rsidRDefault="0002051E" w:rsidP="00995779">
      <w:pPr>
        <w:rPr>
          <w:rFonts w:ascii="Arial" w:hAnsi="Arial" w:cs="Arial"/>
        </w:rPr>
      </w:pPr>
      <w:r w:rsidRPr="00382A00">
        <w:rPr>
          <w:rFonts w:ascii="Arial" w:hAnsi="Arial" w:cs="Arial"/>
          <w:b/>
        </w:rPr>
        <w:t>Guest:</w:t>
      </w:r>
      <w:r>
        <w:rPr>
          <w:rFonts w:ascii="Arial" w:hAnsi="Arial" w:cs="Arial"/>
          <w:b/>
        </w:rPr>
        <w:t xml:space="preserve">  </w:t>
      </w:r>
      <w:r w:rsidRPr="00382A00">
        <w:rPr>
          <w:rFonts w:ascii="Arial" w:hAnsi="Arial" w:cs="Arial"/>
          <w:b/>
        </w:rPr>
        <w:t xml:space="preserve">Professor </w:t>
      </w:r>
      <w:r>
        <w:rPr>
          <w:rFonts w:ascii="Arial" w:hAnsi="Arial" w:cs="Arial"/>
          <w:b/>
        </w:rPr>
        <w:t>Bill Zumeta</w:t>
      </w:r>
    </w:p>
    <w:p w:rsidR="0002051E" w:rsidRPr="00382A00" w:rsidRDefault="0002051E" w:rsidP="00D67D67">
      <w:pPr>
        <w:rPr>
          <w:rFonts w:ascii="Arial" w:hAnsi="Arial" w:cs="Arial"/>
        </w:rPr>
      </w:pPr>
    </w:p>
    <w:p w:rsidR="0002051E" w:rsidRPr="00382A00" w:rsidRDefault="0002051E" w:rsidP="00D67D67">
      <w:pPr>
        <w:spacing w:after="120"/>
        <w:rPr>
          <w:rFonts w:ascii="Arial" w:hAnsi="Arial" w:cs="Arial"/>
        </w:rPr>
      </w:pPr>
      <w:r w:rsidRPr="00382A00">
        <w:rPr>
          <w:rFonts w:ascii="Arial" w:hAnsi="Arial" w:cs="Arial"/>
          <w:b/>
        </w:rPr>
        <w:t>Readings</w:t>
      </w:r>
      <w:r>
        <w:rPr>
          <w:rFonts w:ascii="Arial" w:hAnsi="Arial" w:cs="Arial"/>
          <w:b/>
        </w:rPr>
        <w:t xml:space="preserve"> (</w:t>
      </w:r>
      <w:r w:rsidRPr="00160B3B">
        <w:rPr>
          <w:rFonts w:ascii="Arial" w:hAnsi="Arial" w:cs="Arial"/>
          <w:b/>
        </w:rPr>
        <w:t>Tentative</w:t>
      </w:r>
      <w:r>
        <w:rPr>
          <w:rFonts w:ascii="Arial" w:hAnsi="Arial" w:cs="Arial"/>
          <w:b/>
        </w:rPr>
        <w:t>)</w:t>
      </w:r>
      <w:r w:rsidRPr="00382A00">
        <w:rPr>
          <w:rFonts w:ascii="Arial" w:hAnsi="Arial" w:cs="Arial"/>
          <w:b/>
        </w:rPr>
        <w:t xml:space="preserve">: 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82A00">
        <w:rPr>
          <w:rFonts w:ascii="Arial" w:hAnsi="Arial" w:cs="Arial"/>
        </w:rPr>
        <w:t>W &amp; V. ch</w:t>
      </w:r>
      <w:r>
        <w:rPr>
          <w:rFonts w:ascii="Arial" w:hAnsi="Arial" w:cs="Arial"/>
        </w:rPr>
        <w:t>ap</w:t>
      </w:r>
      <w:r w:rsidRPr="00382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12, </w:t>
      </w:r>
      <w:r w:rsidRPr="00382A0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382A00">
        <w:rPr>
          <w:rFonts w:ascii="Arial" w:hAnsi="Arial" w:cs="Arial"/>
        </w:rPr>
        <w:t xml:space="preserve">. </w:t>
      </w:r>
    </w:p>
    <w:p w:rsidR="0002051E" w:rsidRPr="00382A00" w:rsidRDefault="0002051E" w:rsidP="00E718A1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160B3B">
        <w:rPr>
          <w:rFonts w:ascii="Arial" w:hAnsi="Arial" w:cs="Arial"/>
          <w:highlight w:val="yellow"/>
        </w:rPr>
        <w:t>P. May</w:t>
      </w:r>
      <w:r w:rsidRPr="00382A00">
        <w:rPr>
          <w:rFonts w:ascii="Arial" w:hAnsi="Arial" w:cs="Arial"/>
        </w:rPr>
        <w:t xml:space="preserve"> (2003). “Policy Design and Implementation.” In B. Peters and J. Pierre (eds.). </w:t>
      </w:r>
      <w:r w:rsidRPr="00382A00">
        <w:rPr>
          <w:rFonts w:ascii="Arial" w:hAnsi="Arial" w:cs="Arial"/>
          <w:i/>
        </w:rPr>
        <w:t>Handbook of Public Administration</w:t>
      </w:r>
      <w:r w:rsidRPr="00382A00">
        <w:rPr>
          <w:rFonts w:ascii="Arial" w:hAnsi="Arial" w:cs="Arial"/>
        </w:rPr>
        <w:t xml:space="preserve">. Thousand Oaks, CA: Sage, pp. 223-233. </w:t>
      </w:r>
    </w:p>
    <w:p w:rsidR="0002051E" w:rsidRPr="00382A00" w:rsidRDefault="0002051E" w:rsidP="00E718A1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160B3B">
        <w:rPr>
          <w:rFonts w:ascii="Arial" w:hAnsi="Arial" w:cs="Arial"/>
          <w:highlight w:val="yellow"/>
        </w:rPr>
        <w:t>M. Meyers</w:t>
      </w:r>
      <w:r w:rsidRPr="00382A00">
        <w:rPr>
          <w:rFonts w:ascii="Arial" w:hAnsi="Arial" w:cs="Arial"/>
        </w:rPr>
        <w:t xml:space="preserve"> and S. Vorsanger, “Street-Level Bureaucrats and the Implementation of Public Policy.” In Peters and Pierre, pp. 245-255.</w:t>
      </w:r>
    </w:p>
    <w:p w:rsidR="0002051E" w:rsidRDefault="0002051E" w:rsidP="00E718A1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>S. Winter (2003). “Introduction” to section on Implementation. In B. G. Peters and J. Pierre (eds.). pp. 205-211.</w:t>
      </w: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 xml:space="preserve">J. Lesser and </w:t>
      </w:r>
      <w:r w:rsidRPr="00160B3B">
        <w:rPr>
          <w:rFonts w:ascii="Arial" w:hAnsi="Arial" w:cs="Arial"/>
          <w:highlight w:val="yellow"/>
        </w:rPr>
        <w:t>R. Zerbe</w:t>
      </w:r>
      <w:r w:rsidRPr="00382A00">
        <w:rPr>
          <w:rFonts w:ascii="Arial" w:hAnsi="Arial" w:cs="Arial"/>
        </w:rPr>
        <w:t xml:space="preserve"> (1998).  “A Practitioner’s Guide to Benefit-Cost Analysis.” In F. Thompson and M. Green (Eds.). </w:t>
      </w:r>
      <w:r w:rsidRPr="00382A00">
        <w:rPr>
          <w:rFonts w:ascii="Arial" w:hAnsi="Arial" w:cs="Arial"/>
          <w:i/>
        </w:rPr>
        <w:t>Handbook of Public Finance</w:t>
      </w:r>
      <w:r w:rsidRPr="00382A00">
        <w:rPr>
          <w:rFonts w:ascii="Arial" w:hAnsi="Arial" w:cs="Arial"/>
        </w:rPr>
        <w:t>. New York: Marcel Dekker, pp. 221-268.</w:t>
      </w:r>
    </w:p>
    <w:p w:rsidR="0002051E" w:rsidRPr="0092213B" w:rsidRDefault="0002051E" w:rsidP="00761F47">
      <w:pPr>
        <w:autoSpaceDE w:val="0"/>
        <w:autoSpaceDN w:val="0"/>
        <w:adjustRightInd w:val="0"/>
        <w:spacing w:after="120"/>
        <w:ind w:left="432" w:hanging="432"/>
      </w:pPr>
      <w:r>
        <w:rPr>
          <w:noProof/>
        </w:rPr>
        <w:pict>
          <v:shape id="_x0000_s1031" type="#_x0000_t87" style="position:absolute;left:0;text-align:left;margin-left:-16.8pt;margin-top:1.45pt;width:7.8pt;height:80.4pt;z-index:251660800" strokeweight="1.25pt"/>
        </w:pict>
      </w:r>
      <w:r w:rsidRPr="0092213B">
        <w:rPr>
          <w:rFonts w:ascii="Arial" w:hAnsi="Arial" w:cs="Arial"/>
        </w:rPr>
        <w:t xml:space="preserve">D. Aadland </w:t>
      </w:r>
      <w:r>
        <w:rPr>
          <w:rFonts w:ascii="Arial" w:hAnsi="Arial" w:cs="Arial"/>
        </w:rPr>
        <w:t>&amp;</w:t>
      </w:r>
      <w:r w:rsidRPr="0092213B">
        <w:rPr>
          <w:rFonts w:ascii="Arial" w:hAnsi="Arial" w:cs="Arial"/>
        </w:rPr>
        <w:t xml:space="preserve"> A. Caplan (2006). “Curbside recycling: Waste resource or waste of resources?</w:t>
      </w:r>
      <w:r>
        <w:rPr>
          <w:rFonts w:ascii="Arial" w:hAnsi="Arial" w:cs="Arial"/>
        </w:rPr>
        <w:t>”</w:t>
      </w:r>
      <w:r w:rsidRPr="0092213B">
        <w:rPr>
          <w:rFonts w:ascii="Arial" w:hAnsi="Arial" w:cs="Arial"/>
        </w:rPr>
        <w:t xml:space="preserve"> </w:t>
      </w:r>
      <w:r w:rsidRPr="0092213B">
        <w:rPr>
          <w:rFonts w:ascii="Arial" w:hAnsi="Arial" w:cs="Arial"/>
          <w:i/>
        </w:rPr>
        <w:t>Journal of Policy Analysis and Management</w:t>
      </w:r>
      <w:r w:rsidRPr="0092213B">
        <w:rPr>
          <w:rFonts w:ascii="Arial" w:hAnsi="Arial" w:cs="Arial"/>
        </w:rPr>
        <w:t xml:space="preserve"> </w:t>
      </w:r>
      <w:r w:rsidRPr="0092213B">
        <w:rPr>
          <w:rStyle w:val="databold1"/>
          <w:rFonts w:ascii="Arial" w:hAnsi="Arial" w:cs="Arial"/>
          <w:b w:val="0"/>
        </w:rPr>
        <w:t>25(4) pp. 855-874</w:t>
      </w:r>
      <w:r>
        <w:rPr>
          <w:rStyle w:val="databold1"/>
          <w:rFonts w:ascii="Arial" w:hAnsi="Arial" w:cs="Arial"/>
          <w:b w:val="0"/>
        </w:rPr>
        <w:t xml:space="preserve">. </w:t>
      </w:r>
      <w:r w:rsidRPr="007320CF">
        <w:rPr>
          <w:rFonts w:ascii="Arial" w:hAnsi="Arial" w:cs="Arial"/>
          <w:highlight w:val="cyan"/>
        </w:rPr>
        <w:t>OR</w:t>
      </w:r>
    </w:p>
    <w:p w:rsidR="0002051E" w:rsidRDefault="0002051E" w:rsidP="00761F47">
      <w:pPr>
        <w:autoSpaceDE w:val="0"/>
        <w:autoSpaceDN w:val="0"/>
        <w:adjustRightInd w:val="0"/>
        <w:spacing w:after="120"/>
        <w:ind w:left="432" w:hanging="432"/>
        <w:rPr>
          <w:rStyle w:val="databold1"/>
          <w:rFonts w:ascii="Arial" w:hAnsi="Arial" w:cs="Arial"/>
          <w:b w:val="0"/>
        </w:rPr>
      </w:pPr>
      <w:r w:rsidRPr="0092213B">
        <w:rPr>
          <w:rFonts w:ascii="Arial" w:hAnsi="Arial" w:cs="Arial"/>
        </w:rPr>
        <w:t xml:space="preserve">G. Chen </w:t>
      </w:r>
      <w:r>
        <w:rPr>
          <w:rFonts w:ascii="Arial" w:hAnsi="Arial" w:cs="Arial"/>
        </w:rPr>
        <w:t>&amp;</w:t>
      </w:r>
      <w:r w:rsidRPr="0092213B">
        <w:rPr>
          <w:rFonts w:ascii="Arial" w:hAnsi="Arial" w:cs="Arial"/>
        </w:rPr>
        <w:t xml:space="preserve"> R. Warburton (2006) “Do speed cameras produce net benefits? Evidence from British Columbia, Canada,” </w:t>
      </w:r>
      <w:r w:rsidRPr="0092213B">
        <w:rPr>
          <w:rFonts w:ascii="Arial" w:hAnsi="Arial" w:cs="Arial"/>
          <w:i/>
        </w:rPr>
        <w:t>Journal of Policy Analysis and Management</w:t>
      </w:r>
      <w:r w:rsidRPr="0092213B">
        <w:rPr>
          <w:rFonts w:ascii="Arial" w:hAnsi="Arial" w:cs="Arial"/>
        </w:rPr>
        <w:t xml:space="preserve"> </w:t>
      </w:r>
      <w:r w:rsidRPr="0092213B">
        <w:rPr>
          <w:rStyle w:val="databold1"/>
          <w:rFonts w:ascii="Arial" w:hAnsi="Arial" w:cs="Arial"/>
          <w:b w:val="0"/>
        </w:rPr>
        <w:t>25(3) pp. 661-678</w:t>
      </w:r>
      <w:r>
        <w:rPr>
          <w:rStyle w:val="databold1"/>
          <w:rFonts w:ascii="Arial" w:hAnsi="Arial" w:cs="Arial"/>
          <w:b w:val="0"/>
        </w:rPr>
        <w:t>.</w:t>
      </w:r>
    </w:p>
    <w:p w:rsidR="0002051E" w:rsidRDefault="000205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051E" w:rsidRPr="005A5EB7" w:rsidRDefault="0002051E" w:rsidP="00C809EF">
      <w:pPr>
        <w:spacing w:after="120"/>
        <w:ind w:left="288" w:hanging="288"/>
        <w:rPr>
          <w:rFonts w:ascii="Arial" w:hAnsi="Arial" w:cs="Arial"/>
        </w:rPr>
      </w:pPr>
      <w:r>
        <w:rPr>
          <w:noProof/>
        </w:rPr>
        <w:pict>
          <v:shape id="_x0000_s1032" type="#_x0000_t87" style="position:absolute;left:0;text-align:left;margin-left:-28.5pt;margin-top:3.2pt;width:26.1pt;height:191.3pt;z-index:251658752" strokeweight="1.25pt"/>
        </w:pict>
      </w:r>
      <w:r>
        <w:rPr>
          <w:rFonts w:ascii="Arial" w:hAnsi="Arial" w:cs="Arial"/>
        </w:rPr>
        <w:t xml:space="preserve">W. </w:t>
      </w:r>
      <w:r w:rsidRPr="005A5EB7">
        <w:rPr>
          <w:rFonts w:ascii="Arial" w:hAnsi="Arial" w:cs="Arial"/>
        </w:rPr>
        <w:t xml:space="preserve">Barnett &amp; </w:t>
      </w:r>
      <w:r>
        <w:rPr>
          <w:rFonts w:ascii="Arial" w:hAnsi="Arial" w:cs="Arial"/>
        </w:rPr>
        <w:t xml:space="preserve">L. </w:t>
      </w:r>
      <w:r w:rsidRPr="005A5EB7">
        <w:rPr>
          <w:rFonts w:ascii="Arial" w:hAnsi="Arial" w:cs="Arial"/>
        </w:rPr>
        <w:t xml:space="preserve">Masse </w:t>
      </w:r>
      <w:r>
        <w:rPr>
          <w:rFonts w:ascii="Arial" w:hAnsi="Arial" w:cs="Arial"/>
        </w:rPr>
        <w:t>(</w:t>
      </w:r>
      <w:r w:rsidRPr="005A5EB7">
        <w:rPr>
          <w:rFonts w:ascii="Arial" w:hAnsi="Arial" w:cs="Arial"/>
        </w:rPr>
        <w:t>2007</w:t>
      </w:r>
      <w:r>
        <w:rPr>
          <w:rFonts w:ascii="Arial" w:hAnsi="Arial" w:cs="Arial"/>
        </w:rPr>
        <w:t>)</w:t>
      </w:r>
      <w:r w:rsidRPr="005A5EB7">
        <w:rPr>
          <w:rFonts w:ascii="Arial" w:hAnsi="Arial" w:cs="Arial"/>
        </w:rPr>
        <w:t xml:space="preserve">. “Comparative Benefit-Cost Analysis of the Abecedarian Program and Its Policy Implications.” </w:t>
      </w:r>
      <w:r w:rsidRPr="00DD7C0E">
        <w:rPr>
          <w:rFonts w:ascii="Arial" w:hAnsi="Arial" w:cs="Arial"/>
          <w:i/>
          <w:iCs/>
        </w:rPr>
        <w:t>Economics of Education Review</w:t>
      </w:r>
      <w:r w:rsidRPr="005A5EB7">
        <w:rPr>
          <w:rFonts w:ascii="Arial" w:hAnsi="Arial" w:cs="Arial"/>
          <w:i/>
          <w:iCs/>
        </w:rPr>
        <w:t xml:space="preserve"> </w:t>
      </w:r>
      <w:r w:rsidRPr="005A5EB7">
        <w:rPr>
          <w:rFonts w:ascii="Arial" w:hAnsi="Arial" w:cs="Arial"/>
        </w:rPr>
        <w:t>26(1) 113–125.</w:t>
      </w:r>
      <w:r>
        <w:rPr>
          <w:rFonts w:ascii="Arial" w:hAnsi="Arial" w:cs="Arial"/>
        </w:rPr>
        <w:t xml:space="preserve"> </w:t>
      </w:r>
      <w:r w:rsidRPr="007320CF">
        <w:rPr>
          <w:rFonts w:ascii="Arial" w:hAnsi="Arial" w:cs="Arial"/>
          <w:highlight w:val="cyan"/>
        </w:rPr>
        <w:t>OR</w:t>
      </w:r>
    </w:p>
    <w:p w:rsidR="0002051E" w:rsidRDefault="0002051E" w:rsidP="0092213B">
      <w:pPr>
        <w:pStyle w:val="Default"/>
        <w:spacing w:after="120"/>
        <w:ind w:left="432" w:hanging="432"/>
        <w:rPr>
          <w:rFonts w:ascii="Arial" w:hAnsi="Arial" w:cs="Arial"/>
          <w:color w:val="231F20"/>
          <w:sz w:val="24"/>
          <w:szCs w:val="24"/>
        </w:rPr>
      </w:pPr>
      <w:r w:rsidRPr="007051DE">
        <w:rPr>
          <w:rFonts w:ascii="Arial" w:hAnsi="Arial" w:cs="Arial"/>
          <w:color w:val="231F20"/>
          <w:sz w:val="24"/>
          <w:szCs w:val="24"/>
        </w:rPr>
        <w:t>J. Heckman, S</w:t>
      </w:r>
      <w:r>
        <w:rPr>
          <w:rFonts w:ascii="Arial" w:hAnsi="Arial" w:cs="Arial"/>
          <w:color w:val="231F20"/>
          <w:sz w:val="24"/>
          <w:szCs w:val="24"/>
        </w:rPr>
        <w:t>-</w:t>
      </w:r>
      <w:r w:rsidRPr="007051DE">
        <w:rPr>
          <w:rFonts w:ascii="Arial" w:hAnsi="Arial" w:cs="Arial"/>
          <w:color w:val="231F20"/>
          <w:sz w:val="24"/>
          <w:szCs w:val="24"/>
        </w:rPr>
        <w:t>H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 Moon, R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 Pinto, P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 Savelyev, and A</w:t>
      </w:r>
      <w:r>
        <w:rPr>
          <w:rFonts w:ascii="Arial" w:hAnsi="Arial" w:cs="Arial"/>
          <w:color w:val="231F20"/>
          <w:sz w:val="24"/>
          <w:szCs w:val="24"/>
        </w:rPr>
        <w:t>.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 Yavitz (2010)</w:t>
      </w:r>
      <w:r>
        <w:rPr>
          <w:rFonts w:ascii="Arial" w:hAnsi="Arial" w:cs="Arial"/>
          <w:color w:val="231F20"/>
          <w:sz w:val="24"/>
          <w:szCs w:val="24"/>
        </w:rPr>
        <w:t>. “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The rate of return to the HighScope Perry Preschool Program,” </w:t>
      </w:r>
      <w:r w:rsidRPr="007051DE">
        <w:rPr>
          <w:rFonts w:ascii="Arial" w:hAnsi="Arial" w:cs="Arial"/>
          <w:i/>
          <w:color w:val="231F20"/>
          <w:sz w:val="24"/>
          <w:szCs w:val="24"/>
        </w:rPr>
        <w:t>Journal of Public Economics</w:t>
      </w:r>
      <w:r w:rsidRPr="007051DE">
        <w:rPr>
          <w:rFonts w:ascii="Arial" w:hAnsi="Arial" w:cs="Arial"/>
          <w:color w:val="231F20"/>
          <w:sz w:val="24"/>
          <w:szCs w:val="24"/>
        </w:rPr>
        <w:t xml:space="preserve"> 94 </w:t>
      </w:r>
      <w:r>
        <w:rPr>
          <w:rFonts w:ascii="Arial" w:hAnsi="Arial" w:cs="Arial"/>
          <w:color w:val="231F20"/>
          <w:sz w:val="24"/>
          <w:szCs w:val="24"/>
        </w:rPr>
        <w:t xml:space="preserve">pp. </w:t>
      </w:r>
      <w:r w:rsidRPr="007051DE">
        <w:rPr>
          <w:rFonts w:ascii="Arial" w:hAnsi="Arial" w:cs="Arial"/>
          <w:color w:val="231F20"/>
          <w:sz w:val="24"/>
          <w:szCs w:val="24"/>
        </w:rPr>
        <w:t>114–128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C809EF">
        <w:rPr>
          <w:rFonts w:ascii="Arial" w:hAnsi="Arial" w:cs="Arial"/>
          <w:highlight w:val="cyan"/>
        </w:rPr>
        <w:t xml:space="preserve"> </w:t>
      </w:r>
      <w:r w:rsidRPr="00C809EF">
        <w:rPr>
          <w:rFonts w:ascii="Arial" w:hAnsi="Arial" w:cs="Arial"/>
          <w:sz w:val="22"/>
          <w:highlight w:val="cyan"/>
        </w:rPr>
        <w:t>OR</w:t>
      </w:r>
    </w:p>
    <w:p w:rsidR="0002051E" w:rsidRPr="00761F47" w:rsidRDefault="0002051E" w:rsidP="00C809EF">
      <w:pPr>
        <w:pStyle w:val="SSHANGINGINDENT"/>
        <w:spacing w:before="0" w:after="120" w:line="240" w:lineRule="auto"/>
        <w:ind w:left="288" w:hanging="288"/>
        <w:rPr>
          <w:rFonts w:ascii="Arial" w:hAnsi="Arial" w:cs="Arial"/>
          <w:bCs/>
        </w:rPr>
      </w:pPr>
      <w:r w:rsidRPr="00160B3B">
        <w:rPr>
          <w:rStyle w:val="databold1"/>
          <w:rFonts w:ascii="Arial" w:hAnsi="Arial" w:cs="Arial"/>
          <w:b w:val="0"/>
          <w:highlight w:val="yellow"/>
        </w:rPr>
        <w:t>R. Zerbe, R. Plotnick</w:t>
      </w:r>
      <w:r w:rsidRPr="00761F47">
        <w:rPr>
          <w:rStyle w:val="databold1"/>
          <w:rFonts w:ascii="Arial" w:hAnsi="Arial" w:cs="Arial"/>
          <w:b w:val="0"/>
        </w:rPr>
        <w:t xml:space="preserve"> et al.</w:t>
      </w:r>
      <w:r w:rsidRPr="00761F47">
        <w:rPr>
          <w:rFonts w:ascii="Arial" w:hAnsi="Arial" w:cs="Arial"/>
          <w:bCs/>
          <w:szCs w:val="24"/>
        </w:rPr>
        <w:t xml:space="preserve"> (2009). “Benefits and costs of intensive foster care services: The Casey Family Program compared to state services,”</w:t>
      </w:r>
      <w:r w:rsidRPr="00761F47">
        <w:rPr>
          <w:rFonts w:ascii="Arial" w:hAnsi="Arial" w:cs="Arial"/>
          <w:bCs/>
        </w:rPr>
        <w:t xml:space="preserve"> </w:t>
      </w:r>
      <w:r w:rsidRPr="00761F47">
        <w:rPr>
          <w:rFonts w:ascii="Arial" w:hAnsi="Arial" w:cs="Arial"/>
          <w:bCs/>
          <w:i/>
          <w:iCs/>
        </w:rPr>
        <w:t>Contemporary Economic Policy</w:t>
      </w:r>
      <w:r w:rsidRPr="00761F47">
        <w:rPr>
          <w:rFonts w:ascii="Arial" w:hAnsi="Arial" w:cs="Arial"/>
          <w:bCs/>
        </w:rPr>
        <w:t xml:space="preserve">, 308-320. </w:t>
      </w:r>
      <w:r w:rsidRPr="00761F47">
        <w:rPr>
          <w:rFonts w:ascii="Arial" w:hAnsi="Arial" w:cs="Arial"/>
          <w:sz w:val="22"/>
        </w:rPr>
        <w:t>OR</w:t>
      </w:r>
    </w:p>
    <w:p w:rsidR="0002051E" w:rsidRPr="00B657C3" w:rsidRDefault="0002051E" w:rsidP="00C809EF">
      <w:pPr>
        <w:autoSpaceDE w:val="0"/>
        <w:autoSpaceDN w:val="0"/>
        <w:adjustRightInd w:val="0"/>
        <w:spacing w:after="240"/>
        <w:ind w:left="432" w:hanging="432"/>
        <w:rPr>
          <w:rFonts w:ascii="Arial" w:hAnsi="Arial" w:cs="Arial"/>
        </w:rPr>
      </w:pPr>
      <w:r w:rsidRPr="00761F47">
        <w:rPr>
          <w:rFonts w:ascii="Arial" w:hAnsi="Arial" w:cs="Arial"/>
        </w:rPr>
        <w:t xml:space="preserve">D. Carlson, .R. Haveman, T. Kaplan and B. Wolfe (2011) “The benefits and costs of the Section 8 housing subsidy program: A framework and estimates of first-year effects.  </w:t>
      </w:r>
      <w:r w:rsidRPr="00761F47">
        <w:rPr>
          <w:rFonts w:ascii="Arial" w:hAnsi="Arial" w:cs="Arial"/>
          <w:i/>
        </w:rPr>
        <w:t>Journal of Policy Analysis and Management</w:t>
      </w:r>
      <w:r w:rsidRPr="00761F47">
        <w:rPr>
          <w:rFonts w:ascii="Arial" w:hAnsi="Arial" w:cs="Arial"/>
        </w:rPr>
        <w:t xml:space="preserve"> 30</w:t>
      </w:r>
      <w:r w:rsidRPr="00761F47">
        <w:rPr>
          <w:rStyle w:val="databold1"/>
          <w:rFonts w:ascii="Arial" w:hAnsi="Arial" w:cs="Arial"/>
          <w:b w:val="0"/>
        </w:rPr>
        <w:t>(2):</w:t>
      </w:r>
      <w:r w:rsidRPr="00761F47">
        <w:rPr>
          <w:rFonts w:ascii="Arial" w:hAnsi="Arial" w:cs="Arial"/>
        </w:rPr>
        <w:t xml:space="preserve"> 233–255.</w:t>
      </w:r>
      <w:r w:rsidRPr="00B657C3">
        <w:rPr>
          <w:rFonts w:ascii="Arial" w:hAnsi="Arial" w:cs="Arial"/>
        </w:rPr>
        <w:t xml:space="preserve"> </w:t>
      </w:r>
    </w:p>
    <w:p w:rsidR="0002051E" w:rsidRDefault="0002051E" w:rsidP="00B657C3">
      <w:pPr>
        <w:autoSpaceDE w:val="0"/>
        <w:autoSpaceDN w:val="0"/>
        <w:adjustRightInd w:val="0"/>
        <w:spacing w:after="120"/>
        <w:ind w:left="432" w:hanging="432"/>
        <w:rPr>
          <w:rStyle w:val="databold1"/>
          <w:rFonts w:ascii="Arial" w:hAnsi="Arial" w:cs="Arial"/>
          <w:b w:val="0"/>
        </w:rPr>
      </w:pPr>
    </w:p>
    <w:p w:rsidR="0002051E" w:rsidRPr="00E33A9E" w:rsidRDefault="0002051E" w:rsidP="00D67D67">
      <w:pPr>
        <w:rPr>
          <w:rFonts w:ascii="Arial" w:hAnsi="Arial" w:cs="Arial"/>
          <w:b/>
          <w:sz w:val="28"/>
        </w:rPr>
      </w:pPr>
      <w:r w:rsidRPr="00E33A9E">
        <w:rPr>
          <w:rFonts w:ascii="Arial" w:hAnsi="Arial" w:cs="Arial"/>
          <w:b/>
          <w:sz w:val="28"/>
        </w:rPr>
        <w:t>Week Ten (May 31)</w:t>
      </w:r>
    </w:p>
    <w:p w:rsidR="0002051E" w:rsidRPr="00911FB6" w:rsidRDefault="0002051E" w:rsidP="00D67D67">
      <w:pPr>
        <w:ind w:left="288"/>
        <w:rPr>
          <w:rFonts w:ascii="Arial" w:hAnsi="Arial" w:cs="Arial"/>
        </w:rPr>
      </w:pPr>
      <w:r w:rsidRPr="00911FB6">
        <w:rPr>
          <w:rFonts w:ascii="Arial" w:hAnsi="Arial" w:cs="Arial"/>
        </w:rPr>
        <w:t>Uses and impacts of policy research and evaluation in the policy making process</w:t>
      </w:r>
    </w:p>
    <w:p w:rsidR="0002051E" w:rsidRPr="00911FB6" w:rsidRDefault="0002051E" w:rsidP="00D67D67">
      <w:pPr>
        <w:ind w:left="288"/>
        <w:rPr>
          <w:rFonts w:ascii="Arial" w:hAnsi="Arial" w:cs="Arial"/>
        </w:rPr>
      </w:pPr>
      <w:r w:rsidRPr="00911FB6">
        <w:rPr>
          <w:rFonts w:ascii="Arial" w:hAnsi="Arial" w:cs="Arial"/>
        </w:rPr>
        <w:t>Student presentations of papers</w:t>
      </w:r>
    </w:p>
    <w:p w:rsidR="0002051E" w:rsidRDefault="0002051E" w:rsidP="00D67D67">
      <w:pPr>
        <w:spacing w:after="120"/>
        <w:ind w:left="288" w:hanging="288"/>
        <w:rPr>
          <w:rFonts w:ascii="Arial" w:hAnsi="Arial" w:cs="Arial"/>
        </w:rPr>
      </w:pPr>
    </w:p>
    <w:p w:rsidR="0002051E" w:rsidRPr="00382A00" w:rsidRDefault="0002051E" w:rsidP="00D67D67">
      <w:pPr>
        <w:spacing w:after="120"/>
        <w:ind w:left="288" w:hanging="288"/>
        <w:rPr>
          <w:rFonts w:ascii="Arial" w:hAnsi="Arial" w:cs="Arial"/>
        </w:rPr>
      </w:pPr>
      <w:r w:rsidRPr="003021C9">
        <w:rPr>
          <w:rFonts w:ascii="Arial" w:hAnsi="Arial" w:cs="Arial"/>
          <w:sz w:val="28"/>
          <w:highlight w:val="green"/>
        </w:rPr>
        <w:t>*</w:t>
      </w:r>
      <w:r w:rsidRPr="00382A00">
        <w:rPr>
          <w:rFonts w:ascii="Arial" w:hAnsi="Arial" w:cs="Arial"/>
        </w:rPr>
        <w:t xml:space="preserve">John Hird, </w:t>
      </w:r>
      <w:r>
        <w:rPr>
          <w:rFonts w:ascii="Arial" w:hAnsi="Arial" w:cs="Arial"/>
        </w:rPr>
        <w:t xml:space="preserve">Power, Politics and Knowledge: </w:t>
      </w:r>
      <w:r w:rsidRPr="00382A00">
        <w:rPr>
          <w:rFonts w:ascii="Arial" w:hAnsi="Arial" w:cs="Arial"/>
          <w:i/>
        </w:rPr>
        <w:t>Policy Analysis in the States</w:t>
      </w:r>
      <w:r w:rsidRPr="00382A00">
        <w:rPr>
          <w:rFonts w:ascii="Arial" w:hAnsi="Arial" w:cs="Arial"/>
        </w:rPr>
        <w:t xml:space="preserve">, Washington, DC: Georgetown University Press, 2005. </w:t>
      </w:r>
    </w:p>
    <w:p w:rsidR="0002051E" w:rsidRPr="00382A00" w:rsidRDefault="0002051E" w:rsidP="00EB6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material to be assigned </w:t>
      </w:r>
    </w:p>
    <w:sectPr w:rsidR="0002051E" w:rsidRPr="00382A00" w:rsidSect="00EB688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1E" w:rsidRDefault="0002051E">
      <w:r>
        <w:separator/>
      </w:r>
    </w:p>
  </w:endnote>
  <w:endnote w:type="continuationSeparator" w:id="0">
    <w:p w:rsidR="0002051E" w:rsidRDefault="0002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ESRI NIMA VMAP1&amp;2 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tter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1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1E" w:rsidRDefault="0002051E" w:rsidP="00EB6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51E" w:rsidRDefault="00020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1E" w:rsidRDefault="0002051E" w:rsidP="00EB6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051E" w:rsidRDefault="00020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1E" w:rsidRDefault="0002051E">
      <w:r>
        <w:separator/>
      </w:r>
    </w:p>
  </w:footnote>
  <w:footnote w:type="continuationSeparator" w:id="0">
    <w:p w:rsidR="0002051E" w:rsidRDefault="0002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1E" w:rsidRPr="00382A00" w:rsidRDefault="0002051E" w:rsidP="00382A00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</w:rPr>
      <w:t>Spring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582"/>
    <w:multiLevelType w:val="hybridMultilevel"/>
    <w:tmpl w:val="B1C2D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357B5"/>
    <w:multiLevelType w:val="hybridMultilevel"/>
    <w:tmpl w:val="07EA1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F3D8D"/>
    <w:multiLevelType w:val="multilevel"/>
    <w:tmpl w:val="222E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D45BE"/>
    <w:multiLevelType w:val="multilevel"/>
    <w:tmpl w:val="A490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98518D"/>
    <w:multiLevelType w:val="hybridMultilevel"/>
    <w:tmpl w:val="2AC074C2"/>
    <w:lvl w:ilvl="0" w:tplc="64CAFFF0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D8F54BC"/>
    <w:multiLevelType w:val="multilevel"/>
    <w:tmpl w:val="E67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85C51"/>
    <w:multiLevelType w:val="multilevel"/>
    <w:tmpl w:val="A37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C973EE"/>
    <w:multiLevelType w:val="multilevel"/>
    <w:tmpl w:val="99BE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41914"/>
    <w:multiLevelType w:val="hybridMultilevel"/>
    <w:tmpl w:val="09D48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E3486"/>
    <w:multiLevelType w:val="hybridMultilevel"/>
    <w:tmpl w:val="8CCAC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36F40"/>
    <w:multiLevelType w:val="hybridMultilevel"/>
    <w:tmpl w:val="A83C7AB8"/>
    <w:lvl w:ilvl="0" w:tplc="30F8ED20">
      <w:start w:val="1"/>
      <w:numFmt w:val="upperLetter"/>
      <w:lvlText w:val="%1.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DA"/>
    <w:rsid w:val="00001D33"/>
    <w:rsid w:val="00002511"/>
    <w:rsid w:val="00007761"/>
    <w:rsid w:val="00007DA6"/>
    <w:rsid w:val="00010068"/>
    <w:rsid w:val="0001272D"/>
    <w:rsid w:val="0002051E"/>
    <w:rsid w:val="00021E4D"/>
    <w:rsid w:val="00026E9F"/>
    <w:rsid w:val="00030862"/>
    <w:rsid w:val="000479F5"/>
    <w:rsid w:val="00070782"/>
    <w:rsid w:val="00072E81"/>
    <w:rsid w:val="000731AA"/>
    <w:rsid w:val="00075A5C"/>
    <w:rsid w:val="00091CD3"/>
    <w:rsid w:val="000B37BC"/>
    <w:rsid w:val="000C345C"/>
    <w:rsid w:val="000C43EA"/>
    <w:rsid w:val="000E2E0B"/>
    <w:rsid w:val="000F29B5"/>
    <w:rsid w:val="00104B60"/>
    <w:rsid w:val="001218C5"/>
    <w:rsid w:val="001258A6"/>
    <w:rsid w:val="001267DA"/>
    <w:rsid w:val="00130722"/>
    <w:rsid w:val="0013358F"/>
    <w:rsid w:val="00160B3B"/>
    <w:rsid w:val="001712AB"/>
    <w:rsid w:val="0019458A"/>
    <w:rsid w:val="001B55D2"/>
    <w:rsid w:val="001C5C14"/>
    <w:rsid w:val="001E4B79"/>
    <w:rsid w:val="001F62E8"/>
    <w:rsid w:val="00222275"/>
    <w:rsid w:val="00243012"/>
    <w:rsid w:val="00262377"/>
    <w:rsid w:val="002761A8"/>
    <w:rsid w:val="00277250"/>
    <w:rsid w:val="00286151"/>
    <w:rsid w:val="0029748A"/>
    <w:rsid w:val="002B3CFA"/>
    <w:rsid w:val="002B6C4E"/>
    <w:rsid w:val="002B7F8F"/>
    <w:rsid w:val="002D4E2E"/>
    <w:rsid w:val="002D5731"/>
    <w:rsid w:val="002E4772"/>
    <w:rsid w:val="002E5805"/>
    <w:rsid w:val="002F23A6"/>
    <w:rsid w:val="002F4406"/>
    <w:rsid w:val="003021C9"/>
    <w:rsid w:val="003075D6"/>
    <w:rsid w:val="003163F6"/>
    <w:rsid w:val="0032274D"/>
    <w:rsid w:val="00324DF4"/>
    <w:rsid w:val="00325CCD"/>
    <w:rsid w:val="003304B3"/>
    <w:rsid w:val="00332363"/>
    <w:rsid w:val="0034683D"/>
    <w:rsid w:val="0036120F"/>
    <w:rsid w:val="003622E6"/>
    <w:rsid w:val="00365340"/>
    <w:rsid w:val="00365E77"/>
    <w:rsid w:val="00373524"/>
    <w:rsid w:val="003810D6"/>
    <w:rsid w:val="00382A00"/>
    <w:rsid w:val="003A4A36"/>
    <w:rsid w:val="003A6D85"/>
    <w:rsid w:val="003E3778"/>
    <w:rsid w:val="003F179F"/>
    <w:rsid w:val="0040724F"/>
    <w:rsid w:val="00423EF9"/>
    <w:rsid w:val="00425F29"/>
    <w:rsid w:val="00426F9A"/>
    <w:rsid w:val="00437FD8"/>
    <w:rsid w:val="004538A7"/>
    <w:rsid w:val="004610D2"/>
    <w:rsid w:val="004616C1"/>
    <w:rsid w:val="00463549"/>
    <w:rsid w:val="00465B77"/>
    <w:rsid w:val="00467290"/>
    <w:rsid w:val="00467782"/>
    <w:rsid w:val="004815AF"/>
    <w:rsid w:val="00493E31"/>
    <w:rsid w:val="004B1CA9"/>
    <w:rsid w:val="004B7AB0"/>
    <w:rsid w:val="004D3AF9"/>
    <w:rsid w:val="004D77C0"/>
    <w:rsid w:val="004E24FC"/>
    <w:rsid w:val="004E41F2"/>
    <w:rsid w:val="004E4A37"/>
    <w:rsid w:val="004F4BD8"/>
    <w:rsid w:val="005474E2"/>
    <w:rsid w:val="00557303"/>
    <w:rsid w:val="005617D0"/>
    <w:rsid w:val="005654A3"/>
    <w:rsid w:val="00585F21"/>
    <w:rsid w:val="0058629B"/>
    <w:rsid w:val="005A2CA8"/>
    <w:rsid w:val="005A5EB7"/>
    <w:rsid w:val="005F211E"/>
    <w:rsid w:val="005F6774"/>
    <w:rsid w:val="00602338"/>
    <w:rsid w:val="0063049C"/>
    <w:rsid w:val="00632BEF"/>
    <w:rsid w:val="006457AC"/>
    <w:rsid w:val="006539F9"/>
    <w:rsid w:val="00662FD5"/>
    <w:rsid w:val="0068293D"/>
    <w:rsid w:val="006A256F"/>
    <w:rsid w:val="006A4FD9"/>
    <w:rsid w:val="006C29EA"/>
    <w:rsid w:val="006C3A77"/>
    <w:rsid w:val="006C46AB"/>
    <w:rsid w:val="006D41EF"/>
    <w:rsid w:val="006D4375"/>
    <w:rsid w:val="006E5580"/>
    <w:rsid w:val="006F25B1"/>
    <w:rsid w:val="006F69B2"/>
    <w:rsid w:val="006F76A5"/>
    <w:rsid w:val="007051DE"/>
    <w:rsid w:val="0071601D"/>
    <w:rsid w:val="00731D65"/>
    <w:rsid w:val="007320CF"/>
    <w:rsid w:val="00751BA0"/>
    <w:rsid w:val="00761F47"/>
    <w:rsid w:val="00764216"/>
    <w:rsid w:val="00776B16"/>
    <w:rsid w:val="007810CC"/>
    <w:rsid w:val="00786DD1"/>
    <w:rsid w:val="007B534C"/>
    <w:rsid w:val="007B5B12"/>
    <w:rsid w:val="007C17BC"/>
    <w:rsid w:val="007E09A8"/>
    <w:rsid w:val="007F0FE2"/>
    <w:rsid w:val="00814C86"/>
    <w:rsid w:val="00827E73"/>
    <w:rsid w:val="00830DC7"/>
    <w:rsid w:val="008415EC"/>
    <w:rsid w:val="008612F6"/>
    <w:rsid w:val="00863438"/>
    <w:rsid w:val="00870BB4"/>
    <w:rsid w:val="00872191"/>
    <w:rsid w:val="008738CC"/>
    <w:rsid w:val="008839E4"/>
    <w:rsid w:val="008B6AC4"/>
    <w:rsid w:val="008B77EC"/>
    <w:rsid w:val="008C036B"/>
    <w:rsid w:val="008D6453"/>
    <w:rsid w:val="008D7F70"/>
    <w:rsid w:val="008E32D7"/>
    <w:rsid w:val="008E6499"/>
    <w:rsid w:val="008F4C48"/>
    <w:rsid w:val="0090689E"/>
    <w:rsid w:val="00911FB6"/>
    <w:rsid w:val="00912A44"/>
    <w:rsid w:val="00915362"/>
    <w:rsid w:val="0092213B"/>
    <w:rsid w:val="0092625D"/>
    <w:rsid w:val="00933357"/>
    <w:rsid w:val="00935781"/>
    <w:rsid w:val="00944322"/>
    <w:rsid w:val="00945662"/>
    <w:rsid w:val="00947F0F"/>
    <w:rsid w:val="0096585B"/>
    <w:rsid w:val="00965BD5"/>
    <w:rsid w:val="00977193"/>
    <w:rsid w:val="00995779"/>
    <w:rsid w:val="009968D3"/>
    <w:rsid w:val="009B0341"/>
    <w:rsid w:val="009B4F3E"/>
    <w:rsid w:val="009D36A7"/>
    <w:rsid w:val="009D7872"/>
    <w:rsid w:val="009E5BD1"/>
    <w:rsid w:val="00A01706"/>
    <w:rsid w:val="00A0311D"/>
    <w:rsid w:val="00A06DD7"/>
    <w:rsid w:val="00A2715A"/>
    <w:rsid w:val="00A40A61"/>
    <w:rsid w:val="00A41D9A"/>
    <w:rsid w:val="00A536DD"/>
    <w:rsid w:val="00A7210C"/>
    <w:rsid w:val="00A747A1"/>
    <w:rsid w:val="00AA5251"/>
    <w:rsid w:val="00AB2DDD"/>
    <w:rsid w:val="00AB61BD"/>
    <w:rsid w:val="00AB645C"/>
    <w:rsid w:val="00AC46C7"/>
    <w:rsid w:val="00AD34EE"/>
    <w:rsid w:val="00AE6CCC"/>
    <w:rsid w:val="00B02017"/>
    <w:rsid w:val="00B224D7"/>
    <w:rsid w:val="00B341DA"/>
    <w:rsid w:val="00B35427"/>
    <w:rsid w:val="00B45CDC"/>
    <w:rsid w:val="00B570D0"/>
    <w:rsid w:val="00B657C3"/>
    <w:rsid w:val="00B727BA"/>
    <w:rsid w:val="00B805E0"/>
    <w:rsid w:val="00B92F86"/>
    <w:rsid w:val="00BA1169"/>
    <w:rsid w:val="00BA74FC"/>
    <w:rsid w:val="00BB4852"/>
    <w:rsid w:val="00BB6EB1"/>
    <w:rsid w:val="00BC4C7C"/>
    <w:rsid w:val="00BC5146"/>
    <w:rsid w:val="00BD2A6F"/>
    <w:rsid w:val="00BD661F"/>
    <w:rsid w:val="00BE38F8"/>
    <w:rsid w:val="00BF5EE7"/>
    <w:rsid w:val="00C13EB1"/>
    <w:rsid w:val="00C205EA"/>
    <w:rsid w:val="00C234C3"/>
    <w:rsid w:val="00C32C5F"/>
    <w:rsid w:val="00C508BA"/>
    <w:rsid w:val="00C809EF"/>
    <w:rsid w:val="00C9200B"/>
    <w:rsid w:val="00CA48D7"/>
    <w:rsid w:val="00CA70E2"/>
    <w:rsid w:val="00CA7157"/>
    <w:rsid w:val="00CE4012"/>
    <w:rsid w:val="00CF0BC7"/>
    <w:rsid w:val="00CF6B52"/>
    <w:rsid w:val="00D03706"/>
    <w:rsid w:val="00D11F66"/>
    <w:rsid w:val="00D233B7"/>
    <w:rsid w:val="00D47C89"/>
    <w:rsid w:val="00D51095"/>
    <w:rsid w:val="00D63F8D"/>
    <w:rsid w:val="00D67D67"/>
    <w:rsid w:val="00D83E94"/>
    <w:rsid w:val="00D84645"/>
    <w:rsid w:val="00D959F6"/>
    <w:rsid w:val="00DA135A"/>
    <w:rsid w:val="00DB01B0"/>
    <w:rsid w:val="00DC5C10"/>
    <w:rsid w:val="00DC7832"/>
    <w:rsid w:val="00DD1095"/>
    <w:rsid w:val="00DD272F"/>
    <w:rsid w:val="00DD7C0E"/>
    <w:rsid w:val="00DF0178"/>
    <w:rsid w:val="00DF05B0"/>
    <w:rsid w:val="00DF759B"/>
    <w:rsid w:val="00E00B5A"/>
    <w:rsid w:val="00E022B5"/>
    <w:rsid w:val="00E03053"/>
    <w:rsid w:val="00E12A47"/>
    <w:rsid w:val="00E32070"/>
    <w:rsid w:val="00E33A9E"/>
    <w:rsid w:val="00E5167A"/>
    <w:rsid w:val="00E53313"/>
    <w:rsid w:val="00E718A1"/>
    <w:rsid w:val="00E74267"/>
    <w:rsid w:val="00E759FF"/>
    <w:rsid w:val="00E83609"/>
    <w:rsid w:val="00E8525A"/>
    <w:rsid w:val="00EA7B60"/>
    <w:rsid w:val="00EB6888"/>
    <w:rsid w:val="00EC0867"/>
    <w:rsid w:val="00EC3845"/>
    <w:rsid w:val="00ED4B3C"/>
    <w:rsid w:val="00ED63A8"/>
    <w:rsid w:val="00F013D5"/>
    <w:rsid w:val="00F018F8"/>
    <w:rsid w:val="00F01A45"/>
    <w:rsid w:val="00F03D9B"/>
    <w:rsid w:val="00F104EE"/>
    <w:rsid w:val="00F12E47"/>
    <w:rsid w:val="00F21DD0"/>
    <w:rsid w:val="00F30AC0"/>
    <w:rsid w:val="00F614F1"/>
    <w:rsid w:val="00F76E06"/>
    <w:rsid w:val="00F81738"/>
    <w:rsid w:val="00F81A00"/>
    <w:rsid w:val="00FA4D7B"/>
    <w:rsid w:val="00FB6C61"/>
    <w:rsid w:val="00FD739C"/>
    <w:rsid w:val="00FE73DC"/>
    <w:rsid w:val="00FE7A1B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A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C29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9EA"/>
    <w:rPr>
      <w:rFonts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F6"/>
    <w:rPr>
      <w:sz w:val="0"/>
      <w:szCs w:val="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AF6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8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A00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14C86"/>
    <w:rPr>
      <w:rFonts w:cs="Times New Roman"/>
      <w:color w:val="800080"/>
      <w:u w:val="single"/>
    </w:rPr>
  </w:style>
  <w:style w:type="character" w:customStyle="1" w:styleId="title-link-wrapper1">
    <w:name w:val="title-link-wrapper1"/>
    <w:basedOn w:val="DefaultParagraphFont"/>
    <w:uiPriority w:val="99"/>
    <w:rsid w:val="00FA4D7B"/>
    <w:rPr>
      <w:rFonts w:cs="Times New Roman"/>
    </w:rPr>
  </w:style>
  <w:style w:type="character" w:customStyle="1" w:styleId="medium-font1">
    <w:name w:val="medium-font1"/>
    <w:basedOn w:val="DefaultParagraphFont"/>
    <w:uiPriority w:val="99"/>
    <w:rsid w:val="00FA4D7B"/>
    <w:rPr>
      <w:rFonts w:cs="Times New Roman"/>
      <w:sz w:val="19"/>
      <w:szCs w:val="19"/>
    </w:rPr>
  </w:style>
  <w:style w:type="character" w:customStyle="1" w:styleId="italic1">
    <w:name w:val="italic1"/>
    <w:basedOn w:val="DefaultParagraphFont"/>
    <w:uiPriority w:val="99"/>
    <w:rsid w:val="00977193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977193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7193"/>
    <w:rPr>
      <w:rFonts w:cs="Times New Roman"/>
      <w:snapToGrid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77193"/>
    <w:rPr>
      <w:rFonts w:cs="Times New Roman"/>
      <w:b/>
      <w:bCs/>
    </w:rPr>
  </w:style>
  <w:style w:type="paragraph" w:customStyle="1" w:styleId="Default">
    <w:name w:val="Default"/>
    <w:uiPriority w:val="99"/>
    <w:rsid w:val="005617D0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ListParagraph">
    <w:name w:val="List Paragraph"/>
    <w:basedOn w:val="Normal"/>
    <w:uiPriority w:val="99"/>
    <w:qFormat/>
    <w:rsid w:val="00A01706"/>
    <w:pPr>
      <w:ind w:left="720"/>
      <w:contextualSpacing/>
    </w:pPr>
  </w:style>
  <w:style w:type="character" w:customStyle="1" w:styleId="hithilite">
    <w:name w:val="hithilite"/>
    <w:basedOn w:val="DefaultParagraphFont"/>
    <w:uiPriority w:val="99"/>
    <w:rsid w:val="00DD272F"/>
    <w:rPr>
      <w:rFonts w:cs="Times New Roman"/>
    </w:rPr>
  </w:style>
  <w:style w:type="character" w:customStyle="1" w:styleId="databold">
    <w:name w:val="data_bold"/>
    <w:basedOn w:val="DefaultParagraphFont"/>
    <w:uiPriority w:val="99"/>
    <w:rsid w:val="00DD272F"/>
    <w:rPr>
      <w:rFonts w:cs="Times New Roman"/>
    </w:rPr>
  </w:style>
  <w:style w:type="character" w:customStyle="1" w:styleId="hithilite1">
    <w:name w:val="hithilite1"/>
    <w:basedOn w:val="DefaultParagraphFont"/>
    <w:uiPriority w:val="99"/>
    <w:rsid w:val="0090689E"/>
    <w:rPr>
      <w:rFonts w:cs="Times New Roman"/>
      <w:shd w:val="clear" w:color="auto" w:fill="FFF3C6"/>
    </w:rPr>
  </w:style>
  <w:style w:type="character" w:customStyle="1" w:styleId="databold1">
    <w:name w:val="data_bold1"/>
    <w:basedOn w:val="DefaultParagraphFont"/>
    <w:uiPriority w:val="99"/>
    <w:rsid w:val="0090689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7D67"/>
    <w:pPr>
      <w:spacing w:before="100" w:beforeAutospacing="1" w:after="100" w:afterAutospacing="1"/>
    </w:pPr>
    <w:rPr>
      <w:rFonts w:ascii="Verdana" w:hAnsi="Verdana" w:cs="Arial Unicode MS"/>
      <w:color w:val="000000"/>
      <w:sz w:val="13"/>
      <w:szCs w:val="13"/>
    </w:rPr>
  </w:style>
  <w:style w:type="character" w:styleId="Emphasis">
    <w:name w:val="Emphasis"/>
    <w:basedOn w:val="DefaultParagraphFont"/>
    <w:uiPriority w:val="99"/>
    <w:qFormat/>
    <w:rsid w:val="00995779"/>
    <w:rPr>
      <w:rFonts w:cs="Times New Roman"/>
      <w:i/>
      <w:iCs/>
    </w:rPr>
  </w:style>
  <w:style w:type="character" w:customStyle="1" w:styleId="licensedcontent15">
    <w:name w:val="licensedcontent15"/>
    <w:basedOn w:val="DefaultParagraphFont"/>
    <w:uiPriority w:val="99"/>
    <w:rsid w:val="00B657C3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BD2A6F"/>
    <w:rPr>
      <w:rFonts w:cs="Times New Roman"/>
      <w:i/>
      <w:iCs/>
    </w:rPr>
  </w:style>
  <w:style w:type="character" w:customStyle="1" w:styleId="cit-auth3">
    <w:name w:val="cit-auth3"/>
    <w:basedOn w:val="DefaultParagraphFont"/>
    <w:uiPriority w:val="99"/>
    <w:rsid w:val="00BD2A6F"/>
    <w:rPr>
      <w:rFonts w:cs="Times New Roman"/>
    </w:rPr>
  </w:style>
  <w:style w:type="character" w:customStyle="1" w:styleId="cit-sep2">
    <w:name w:val="cit-sep2"/>
    <w:basedOn w:val="DefaultParagraphFont"/>
    <w:uiPriority w:val="99"/>
    <w:rsid w:val="00BD2A6F"/>
    <w:rPr>
      <w:rFonts w:cs="Times New Roman"/>
    </w:rPr>
  </w:style>
  <w:style w:type="character" w:customStyle="1" w:styleId="cit-print-date">
    <w:name w:val="cit-print-date"/>
    <w:basedOn w:val="DefaultParagraphFont"/>
    <w:uiPriority w:val="99"/>
    <w:rsid w:val="00BD2A6F"/>
    <w:rPr>
      <w:rFonts w:cs="Times New Roman"/>
    </w:rPr>
  </w:style>
  <w:style w:type="character" w:customStyle="1" w:styleId="cit-vol">
    <w:name w:val="cit-vol"/>
    <w:basedOn w:val="DefaultParagraphFont"/>
    <w:uiPriority w:val="99"/>
    <w:rsid w:val="00BD2A6F"/>
    <w:rPr>
      <w:rFonts w:cs="Times New Roman"/>
    </w:rPr>
  </w:style>
  <w:style w:type="character" w:customStyle="1" w:styleId="cit-first-page">
    <w:name w:val="cit-first-page"/>
    <w:basedOn w:val="DefaultParagraphFont"/>
    <w:uiPriority w:val="99"/>
    <w:rsid w:val="00BD2A6F"/>
    <w:rPr>
      <w:rFonts w:cs="Times New Roman"/>
    </w:rPr>
  </w:style>
  <w:style w:type="character" w:customStyle="1" w:styleId="cit-last-page">
    <w:name w:val="cit-last-page"/>
    <w:basedOn w:val="DefaultParagraphFont"/>
    <w:uiPriority w:val="99"/>
    <w:rsid w:val="00BD2A6F"/>
    <w:rPr>
      <w:rFonts w:cs="Times New Roman"/>
    </w:rPr>
  </w:style>
  <w:style w:type="paragraph" w:customStyle="1" w:styleId="SSHANGINGINDENT">
    <w:name w:val="SS HANGING INDENT"/>
    <w:uiPriority w:val="99"/>
    <w:rsid w:val="00A40A61"/>
    <w:pPr>
      <w:spacing w:before="240" w:line="240" w:lineRule="exact"/>
      <w:ind w:left="600" w:hanging="600"/>
    </w:pPr>
    <w:rPr>
      <w:rFonts w:ascii="lettergothic" w:hAnsi="lettergothic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755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57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5757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57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5765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5779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5784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57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578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3168</Words>
  <Characters>18060</Characters>
  <Application>Microsoft Office Outlook</Application>
  <DocSecurity>0</DocSecurity>
  <Lines>0</Lines>
  <Paragraphs>0</Paragraphs>
  <ScaleCrop>false</ScaleCrop>
  <Company>University of Washington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Analysis PhD Seminar</dc:title>
  <dc:subject/>
  <dc:creator>Robert Plotnick</dc:creator>
  <cp:keywords/>
  <dc:description/>
  <cp:lastModifiedBy>Sir Ryan Bodanyi</cp:lastModifiedBy>
  <cp:revision>2</cp:revision>
  <cp:lastPrinted>2010-04-06T21:18:00Z</cp:lastPrinted>
  <dcterms:created xsi:type="dcterms:W3CDTF">2011-04-03T16:28:00Z</dcterms:created>
  <dcterms:modified xsi:type="dcterms:W3CDTF">2011-04-03T16:28:00Z</dcterms:modified>
</cp:coreProperties>
</file>